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hint="eastAsia" w:ascii="方正小标宋简体" w:hAnsi="宋体" w:eastAsia="方正小标宋简体"/>
          <w:sz w:val="52"/>
          <w:szCs w:val="52"/>
        </w:rPr>
      </w:pPr>
      <w:bookmarkStart w:id="1" w:name="_Toc15378442"/>
      <w:bookmarkStart w:id="2" w:name="_Toc15377194"/>
      <w:bookmarkStart w:id="3" w:name="_Toc15306268"/>
      <w:bookmarkStart w:id="4" w:name="_Toc15396476"/>
      <w:bookmarkStart w:id="5" w:name="_Toc15396598"/>
      <w:bookmarkStart w:id="6" w:name="_Toc15377426"/>
      <w:r>
        <w:rPr>
          <w:rFonts w:hint="eastAsia" w:ascii="方正小标宋简体" w:hAnsi="宋体" w:eastAsia="方正小标宋简体"/>
          <w:sz w:val="52"/>
          <w:szCs w:val="52"/>
        </w:rPr>
        <w:t>达川区双庙乡中心小学</w:t>
      </w:r>
      <w:bookmarkStart w:id="7" w:name="_Toc15377425"/>
      <w:bookmarkStart w:id="8" w:name="_Toc15396597"/>
      <w:bookmarkStart w:id="9" w:name="_Toc15396475"/>
      <w:bookmarkStart w:id="10" w:name="_Toc15378441"/>
      <w:bookmarkStart w:id="11" w:name="_Toc15377193"/>
    </w:p>
    <w:p>
      <w:pPr>
        <w:adjustRightInd w:val="0"/>
        <w:snapToGrid w:val="0"/>
        <w:spacing w:line="360" w:lineRule="auto"/>
        <w:jc w:val="center"/>
        <w:outlineLvl w:val="0"/>
        <w:rPr>
          <w:rFonts w:hint="eastAsia" w:ascii="方正小标宋简体" w:hAnsi="宋体" w:eastAsia="方正小标宋简体"/>
          <w:sz w:val="52"/>
          <w:szCs w:val="52"/>
          <w:lang w:eastAsia="zh-CN"/>
        </w:rPr>
      </w:pPr>
      <w:r>
        <w:rPr>
          <w:rFonts w:ascii="黑体" w:hAnsi="黑体" w:eastAsia="黑体"/>
          <w:sz w:val="52"/>
          <w:szCs w:val="52"/>
        </w:rPr>
        <w:t>201</w:t>
      </w:r>
      <w:r>
        <w:rPr>
          <w:rFonts w:hint="eastAsia" w:ascii="黑体" w:hAnsi="黑体" w:eastAsia="黑体"/>
          <w:sz w:val="52"/>
          <w:szCs w:val="52"/>
        </w:rPr>
        <w:t>8</w:t>
      </w:r>
      <w:r>
        <w:rPr>
          <w:rFonts w:hint="eastAsia" w:ascii="方正小标宋简体" w:hAnsi="宋体" w:eastAsia="方正小标宋简体"/>
          <w:sz w:val="52"/>
          <w:szCs w:val="52"/>
        </w:rPr>
        <w:t>年度</w:t>
      </w:r>
      <w:bookmarkEnd w:id="7"/>
      <w:bookmarkEnd w:id="8"/>
      <w:bookmarkEnd w:id="9"/>
      <w:bookmarkEnd w:id="10"/>
      <w:bookmarkEnd w:id="11"/>
      <w:r>
        <w:rPr>
          <w:rFonts w:hint="eastAsia" w:ascii="方正小标宋简体" w:hAnsi="宋体" w:eastAsia="方正小标宋简体"/>
          <w:sz w:val="52"/>
          <w:szCs w:val="52"/>
        </w:rPr>
        <w:t>部门决算</w:t>
      </w:r>
      <w:bookmarkEnd w:id="1"/>
      <w:bookmarkEnd w:id="2"/>
      <w:bookmarkEnd w:id="3"/>
      <w:bookmarkEnd w:id="4"/>
      <w:bookmarkEnd w:id="5"/>
      <w:bookmarkEnd w:id="6"/>
      <w:r>
        <w:rPr>
          <w:rFonts w:hint="eastAsia" w:ascii="方正小标宋简体" w:hAnsi="宋体" w:eastAsia="方正小标宋简体"/>
          <w:sz w:val="52"/>
          <w:szCs w:val="52"/>
          <w:lang w:eastAsia="zh-CN"/>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hint="eastAsia" w:ascii="黑体" w:hAnsi="黑体" w:eastAsia="黑体"/>
          <w:bCs/>
          <w:kern w:val="44"/>
          <w:sz w:val="44"/>
          <w:szCs w:val="44"/>
          <w:lang w:eastAsia="zh-CN"/>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w:t>
      </w:r>
      <w:r>
        <w:rPr>
          <w:rFonts w:hint="eastAsia" w:ascii="仿宋" w:hAnsi="仿宋" w:eastAsia="仿宋"/>
          <w:sz w:val="32"/>
          <w:szCs w:val="32"/>
          <w:lang w:eastAsia="zh-CN"/>
        </w:rPr>
        <w:t>预算</w:t>
      </w:r>
      <w:r>
        <w:rPr>
          <w:rFonts w:hint="eastAsia" w:ascii="仿宋" w:hAnsi="仿宋" w:eastAsia="仿宋"/>
          <w:sz w:val="32"/>
          <w:szCs w:val="32"/>
        </w:rPr>
        <w:t>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rPr>
        <w:t>第二部分</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2018年度收、支总计1110.13万元。与2017年相比，收、支总计各减少168.43万元，下降13.17</w:t>
      </w:r>
      <w:r>
        <w:rPr>
          <w:rFonts w:ascii="仿宋" w:hAnsi="仿宋" w:eastAsia="仿宋"/>
          <w:sz w:val="32"/>
          <w:szCs w:val="32"/>
        </w:rPr>
        <w:t>%</w:t>
      </w:r>
      <w:r>
        <w:rPr>
          <w:rFonts w:hint="eastAsia" w:ascii="仿宋" w:hAnsi="仿宋" w:eastAsia="仿宋"/>
          <w:sz w:val="32"/>
          <w:szCs w:val="32"/>
        </w:rPr>
        <w:t>。主要变动原因是人员经费和项目支出减少。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8年本年收入合计1030.81万元，其中：一般公共预算财政拨款收入976.45万元，占94.73%；政府性基金预算财政拨款收入19.5万元，占1.89%</w:t>
      </w:r>
      <w:r>
        <w:rPr>
          <w:rFonts w:hint="eastAsia" w:ascii="仿宋" w:hAnsi="仿宋" w:eastAsia="仿宋"/>
          <w:sz w:val="32"/>
          <w:szCs w:val="32"/>
          <w:lang w:eastAsia="zh-CN"/>
        </w:rPr>
        <w:t>。</w:t>
      </w:r>
      <w:r>
        <w:rPr>
          <w:rFonts w:hint="eastAsia" w:ascii="仿宋" w:hAnsi="仿宋" w:eastAsia="仿宋"/>
          <w:sz w:val="32"/>
          <w:szCs w:val="32"/>
        </w:rPr>
        <w:t>事业收入34.86万元，占3.38%</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hint="eastAsia" w:ascii="仿宋" w:hAnsi="仿宋" w:eastAsia="仿宋"/>
          <w:sz w:val="32"/>
          <w:szCs w:val="32"/>
          <w:shd w:val="pct10" w:color="auto" w:fill="FFFFFF"/>
          <w:lang w:eastAsia="zh-CN"/>
        </w:rPr>
      </w:pPr>
      <w:r>
        <w:rPr>
          <w:rFonts w:ascii="仿宋" w:hAnsi="仿宋" w:eastAsia="仿宋"/>
          <w:sz w:val="32"/>
          <w:szCs w:val="32"/>
        </w:rPr>
        <w:t>201</w:t>
      </w:r>
      <w:r>
        <w:rPr>
          <w:rFonts w:hint="eastAsia" w:ascii="仿宋" w:hAnsi="仿宋" w:eastAsia="仿宋"/>
          <w:sz w:val="32"/>
          <w:szCs w:val="32"/>
        </w:rPr>
        <w:t>8年本年支出合计680.81万元，其中：基本支出661.31万元，占97.14%；项目支出19.5万元，占2.86%</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8年财政拨款收、支总计1075.27万元。与</w:t>
      </w:r>
      <w:r>
        <w:rPr>
          <w:rFonts w:ascii="仿宋" w:hAnsi="仿宋" w:eastAsia="仿宋"/>
          <w:sz w:val="32"/>
          <w:szCs w:val="32"/>
        </w:rPr>
        <w:t>201</w:t>
      </w:r>
      <w:r>
        <w:rPr>
          <w:rFonts w:hint="eastAsia" w:ascii="仿宋" w:hAnsi="仿宋" w:eastAsia="仿宋"/>
          <w:sz w:val="32"/>
          <w:szCs w:val="32"/>
        </w:rPr>
        <w:t>7年相比，财政拨款收、支总计各减少196.64万元，下降15.46%。主要变动原因是人员经费和项目支出减少。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8年一般公共预算财政拨款支出626.45万元，占本年支出合计的58.26%。与</w:t>
      </w:r>
      <w:r>
        <w:rPr>
          <w:rFonts w:ascii="仿宋" w:hAnsi="仿宋" w:eastAsia="仿宋"/>
          <w:sz w:val="32"/>
          <w:szCs w:val="32"/>
        </w:rPr>
        <w:t>201</w:t>
      </w:r>
      <w:r>
        <w:rPr>
          <w:rFonts w:hint="eastAsia" w:ascii="仿宋" w:hAnsi="仿宋" w:eastAsia="仿宋"/>
          <w:sz w:val="32"/>
          <w:szCs w:val="32"/>
        </w:rPr>
        <w:t>7年相比，一般公共预算财政拨款减少645.46万元，下降50.75%。主要变动原因是人员经费和项目支出减少。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8年一般公共预算财政拨款支出626.45万元，主要用于以下方面</w:t>
      </w:r>
      <w:r>
        <w:rPr>
          <w:rFonts w:ascii="仿宋" w:hAnsi="仿宋" w:eastAsia="仿宋"/>
          <w:sz w:val="32"/>
          <w:szCs w:val="32"/>
        </w:rPr>
        <w:t>:</w:t>
      </w:r>
      <w:r>
        <w:rPr>
          <w:rFonts w:hint="eastAsia" w:ascii="仿宋" w:hAnsi="仿宋" w:eastAsia="仿宋"/>
          <w:sz w:val="32"/>
          <w:szCs w:val="32"/>
        </w:rPr>
        <w:t>教育（类）支出505.49万元，占80.69%；社会保障和就业（类）支出68.97万元，占11.01%；医疗卫生与计划生育（类）支出18.27万元，占2.92%；住房保障（类）支出33.72万元，占5.38%。</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2018年一般公共预算支出决算数为626.45万元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505.49</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68.97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18.27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5.城乡社区212</w:t>
      </w:r>
      <w:r>
        <w:rPr>
          <w:rStyle w:val="15"/>
          <w:rFonts w:hint="eastAsia" w:ascii="仿宋" w:hAnsi="仿宋" w:eastAsia="仿宋"/>
          <w:bCs/>
          <w:sz w:val="32"/>
          <w:szCs w:val="32"/>
        </w:rPr>
        <w:t>（类）</w:t>
      </w:r>
      <w:r>
        <w:rPr>
          <w:rFonts w:hint="eastAsia" w:ascii="仿宋" w:hAnsi="仿宋" w:eastAsia="仿宋"/>
          <w:b/>
          <w:sz w:val="32"/>
          <w:szCs w:val="32"/>
        </w:rPr>
        <w:t>08</w:t>
      </w:r>
      <w:r>
        <w:rPr>
          <w:rStyle w:val="15"/>
          <w:rFonts w:hint="eastAsia" w:ascii="仿宋" w:hAnsi="仿宋" w:eastAsia="仿宋"/>
          <w:bCs/>
          <w:sz w:val="32"/>
          <w:szCs w:val="32"/>
        </w:rPr>
        <w:t>（款）</w:t>
      </w:r>
      <w:r>
        <w:rPr>
          <w:rFonts w:hint="eastAsia" w:ascii="仿宋" w:hAnsi="仿宋" w:eastAsia="仿宋"/>
          <w:b/>
          <w:sz w:val="32"/>
          <w:szCs w:val="32"/>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w:t>
      </w:r>
      <w:r>
        <w:rPr>
          <w:rFonts w:hint="eastAsia" w:ascii="仿宋" w:hAnsi="仿宋" w:eastAsia="仿宋"/>
          <w:sz w:val="32"/>
          <w:szCs w:val="32"/>
        </w:rPr>
        <w:t>0万元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6.住房保障221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33.72万元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8年一般公共预算财政拨款基本支出626.45万元，其中：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人员经费505.78万元，主要包括：基本工资、津贴补贴、绩效工资、机关事业单位基本养老保险费、职业年金缴费、职工基本医疗保险缴费、其他社会保障缴费、住房公积金、生活补助、助学金、奖励金等。</w:t>
      </w:r>
    </w:p>
    <w:p>
      <w:pPr>
        <w:spacing w:line="600" w:lineRule="exact"/>
        <w:ind w:firstLine="645"/>
        <w:rPr>
          <w:rFonts w:ascii="仿宋" w:hAnsi="仿宋" w:eastAsia="仿宋"/>
          <w:sz w:val="32"/>
          <w:szCs w:val="32"/>
        </w:rPr>
      </w:pPr>
      <w:r>
        <w:rPr>
          <w:rFonts w:hint="eastAsia" w:ascii="仿宋" w:hAnsi="仿宋" w:eastAsia="仿宋"/>
          <w:sz w:val="32"/>
          <w:szCs w:val="32"/>
        </w:rPr>
        <w:t>公用经费120.68万元，主要包括：办公费、咨询费、水费、电费、物业管理费、差旅费、维修（护）费、培训费、公务接待费、劳务费、工会经费、福利费、其他交通费用、其他商品和服务支出、办公设备购置等。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8年“三公”经费财政拨款支出决算为0.6万元，完成预算100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；公务接待费支出决算0.6万元，占100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0.6</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sz w:val="32"/>
          <w:szCs w:val="32"/>
        </w:rPr>
        <w:t>公务接待费支出决算比上年增加0.57万元。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主要用于执行公务、开展业务活动开支的交通费、住宿费、用餐费等。国内公务接待30批次，153人次（不包括陪同人员），共计支出</w:t>
      </w:r>
      <w:r>
        <w:rPr>
          <w:rFonts w:hint="eastAsia" w:ascii="仿宋" w:hAnsi="仿宋" w:eastAsia="仿宋"/>
          <w:sz w:val="32"/>
          <w:szCs w:val="32"/>
        </w:rPr>
        <w:t>0.6</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 w:hAnsi="仿宋" w:eastAsia="仿宋"/>
          <w:sz w:val="32"/>
          <w:szCs w:val="32"/>
        </w:rPr>
        <w:t>19.5</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w:t>
      </w:r>
      <w:r>
        <w:rPr>
          <w:rFonts w:hint="eastAsia" w:ascii="仿宋_GB2312" w:eastAsia="仿宋_GB2312"/>
          <w:sz w:val="32"/>
          <w:szCs w:val="32"/>
          <w:lang w:eastAsia="zh-CN"/>
        </w:rPr>
        <w:t>无</w:t>
      </w:r>
      <w:r>
        <w:rPr>
          <w:rFonts w:hint="eastAsia" w:ascii="仿宋_GB2312" w:eastAsia="仿宋_GB2312"/>
          <w:sz w:val="32"/>
          <w:szCs w:val="32"/>
        </w:rPr>
        <w:t>国有资本经营预算拨款。</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2.64</w:t>
      </w:r>
      <w:r>
        <w:rPr>
          <w:rFonts w:hint="eastAsia" w:ascii="仿宋_GB2312" w:hAnsi="仿宋_GB2312" w:eastAsia="仿宋_GB2312" w:cs="仿宋_GB2312"/>
          <w:sz w:val="32"/>
          <w:szCs w:val="32"/>
        </w:rPr>
        <w:t>万元，执行数为</w:t>
      </w:r>
      <w:r>
        <w:rPr>
          <w:rFonts w:hint="eastAsia" w:ascii="仿宋" w:hAnsi="仿宋" w:eastAsia="仿宋"/>
          <w:sz w:val="32"/>
          <w:szCs w:val="32"/>
        </w:rPr>
        <w:t>2.64</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503.14</w:t>
      </w:r>
      <w:r>
        <w:rPr>
          <w:rFonts w:hint="eastAsia" w:ascii="仿宋_GB2312" w:hAnsi="仿宋_GB2312" w:eastAsia="仿宋_GB2312" w:cs="仿宋_GB2312"/>
          <w:sz w:val="32"/>
          <w:szCs w:val="32"/>
        </w:rPr>
        <w:t>万元，执行数为</w:t>
      </w:r>
      <w:r>
        <w:rPr>
          <w:rFonts w:hint="eastAsia" w:ascii="仿宋" w:hAnsi="仿宋" w:eastAsia="仿宋"/>
          <w:sz w:val="32"/>
          <w:szCs w:val="32"/>
        </w:rPr>
        <w:t>503.14</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120.68</w:t>
      </w:r>
      <w:r>
        <w:rPr>
          <w:rFonts w:hint="eastAsia" w:ascii="仿宋_GB2312" w:hAnsi="仿宋_GB2312" w:eastAsia="仿宋_GB2312" w:cs="仿宋_GB2312"/>
          <w:sz w:val="32"/>
          <w:szCs w:val="32"/>
        </w:rPr>
        <w:t>万元，执行数为</w:t>
      </w:r>
      <w:r>
        <w:rPr>
          <w:rFonts w:hint="eastAsia" w:ascii="仿宋" w:hAnsi="仿宋" w:eastAsia="仿宋"/>
          <w:sz w:val="32"/>
          <w:szCs w:val="32"/>
        </w:rPr>
        <w:t>120.68</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%。通过项目实施，保障学校正常开展的各项活动</w:t>
      </w:r>
      <w:r>
        <w:rPr>
          <w:rFonts w:hint="eastAsia" w:ascii="仿宋_GB2312" w:hAnsi="仿宋_GB2312" w:eastAsia="仿宋_GB2312" w:cs="仿宋_GB2312"/>
          <w:sz w:val="32"/>
          <w:szCs w:val="32"/>
          <w:lang w:eastAsia="zh-CN"/>
        </w:rPr>
        <w:t>。</w:t>
      </w:r>
      <w:bookmarkStart w:id="76" w:name="_GoBack"/>
      <w:bookmarkEnd w:id="76"/>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达川区双庙乡中心小学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2.64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2.64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2.64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2.64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足额发放免作业本费、免保教费、学生营养餐、贫困住校生补助、食堂购买服务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达川区双庙乡中心小学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503.14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503.14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503.14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503.14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足额发放在职教师工资、购买养老保险、职业年金、医保、工伤、住房公积金、工会经费及临聘人员的工资补助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达川区双庙乡中心小学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120.68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120.68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120.68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120.68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本部门按要求对2018年部门整体支出绩效评价情况开展自评，《达川区双庙乡中心小学2018年部门整体支出绩效评价报告》见附件。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本部门自行组织对人员经费项目开展了绩效评价，《达川区双庙乡中心小学项目2018年绩效评价报告》见附件。</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autoSpaceDE w:val="0"/>
        <w:autoSpaceDN w:val="0"/>
        <w:adjustRightInd w:val="0"/>
        <w:spacing w:line="600" w:lineRule="exact"/>
        <w:ind w:firstLine="640" w:firstLineChars="200"/>
        <w:jc w:val="left"/>
        <w:outlineLvl w:val="2"/>
        <w:rPr>
          <w:rFonts w:hint="eastAsia" w:ascii="仿宋_GB2312" w:eastAsia="仿宋_GB2312"/>
          <w:sz w:val="32"/>
          <w:szCs w:val="32"/>
          <w:lang w:eastAsia="zh-CN"/>
        </w:rPr>
      </w:pPr>
      <w:bookmarkStart w:id="53" w:name="_Toc15377223"/>
      <w:r>
        <w:rPr>
          <w:rFonts w:hint="eastAsia" w:ascii="仿宋_GB2312" w:eastAsia="仿宋_GB2312"/>
          <w:sz w:val="32"/>
          <w:szCs w:val="32"/>
          <w:lang w:eastAsia="zh-CN"/>
        </w:rPr>
        <w:t>本单位为事业单位，无机关运行经费支出。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hint="eastAsia" w:ascii="仿宋_GB2312" w:eastAsia="仿宋_GB2312"/>
          <w:sz w:val="32"/>
          <w:szCs w:val="32"/>
          <w:lang w:eastAsia="zh-CN"/>
        </w:rPr>
      </w:pPr>
      <w:bookmarkStart w:id="54" w:name="_Toc15377224"/>
      <w:r>
        <w:rPr>
          <w:rFonts w:hint="eastAsia" w:ascii="仿宋_GB2312" w:eastAsia="仿宋_GB2312"/>
          <w:sz w:val="32"/>
          <w:szCs w:val="32"/>
          <w:lang w:eastAsia="zh-CN"/>
        </w:rPr>
        <w:t>本单位严格按照政府采购文件执行。</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hint="eastAsia" w:ascii="仿宋" w:hAnsi="仿宋" w:eastAsia="仿宋"/>
          <w:b/>
          <w:sz w:val="32"/>
          <w:szCs w:val="32"/>
          <w:lang w:eastAsia="zh-CN"/>
        </w:rPr>
      </w:pPr>
      <w:r>
        <w:rPr>
          <w:rFonts w:hint="eastAsia" w:ascii="仿宋_GB2312" w:eastAsia="仿宋_GB2312"/>
          <w:sz w:val="32"/>
          <w:szCs w:val="32"/>
          <w:lang w:eastAsia="zh-CN"/>
        </w:rPr>
        <w:t>本单位资产科学配置，有效利用，没有出租、借出等。</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 xml:space="preserve">达川区双庙乡中心小学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达川区双庙乡中心小学是一所农村单设小学，单位性质为：全额拨款事业单位，设立5个内设部门：教务处、政教处、安全办公室、党建办公室、后勤处。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2018年我校在职教职工47人，临聘人员7人。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8年本年收入合计1030.81万元，其中：一般公共预算财政拨款收入976.45万元，占94.73%；政府性基金预算财政拨款收入19.5万元，占1.89%；国有资本经营预算财政拨款收入0万元，占0%；事业收入34.86万元，占3.38%。</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hint="eastAsia" w:ascii="仿宋" w:hAnsi="仿宋" w:eastAsia="仿宋"/>
          <w:sz w:val="32"/>
          <w:szCs w:val="32"/>
          <w:shd w:val="pct10" w:color="auto" w:fill="FFFFFF"/>
          <w:lang w:eastAsia="zh-CN"/>
        </w:rPr>
      </w:pPr>
      <w:r>
        <w:rPr>
          <w:rFonts w:ascii="仿宋" w:hAnsi="仿宋" w:eastAsia="仿宋"/>
          <w:sz w:val="32"/>
          <w:szCs w:val="32"/>
        </w:rPr>
        <w:t>201</w:t>
      </w:r>
      <w:r>
        <w:rPr>
          <w:rFonts w:hint="eastAsia" w:ascii="仿宋" w:hAnsi="仿宋" w:eastAsia="仿宋"/>
          <w:sz w:val="32"/>
          <w:szCs w:val="32"/>
        </w:rPr>
        <w:t>8年本年支出合计680.81万元，其中：基本支出661.31万元，占97.14%；项目支出19.5万元，占2.86%</w:t>
      </w:r>
      <w:r>
        <w:rPr>
          <w:rFonts w:hint="eastAsia" w:ascii="仿宋" w:hAnsi="仿宋" w:eastAsia="仿宋"/>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达川区双庙乡中心小学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503.14</w:t>
      </w:r>
      <w:r>
        <w:rPr>
          <w:rFonts w:hint="eastAsia" w:ascii="仿宋" w:hAnsi="仿宋" w:eastAsia="仿宋" w:cs="仿宋_GB2312"/>
          <w:sz w:val="32"/>
          <w:szCs w:val="32"/>
        </w:rPr>
        <w:t>万元，足额用于发放学校教职员工的工资、五险一金。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hint="eastAsia" w:ascii="黑体" w:hAnsi="黑体" w:eastAsia="黑体"/>
          <w:sz w:val="44"/>
          <w:szCs w:val="44"/>
        </w:rPr>
      </w:pPr>
      <w:bookmarkStart w:id="62" w:name="_Toc15396618"/>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sz w:val="44"/>
          <w:szCs w:val="44"/>
        </w:rPr>
      </w:pPr>
    </w:p>
    <w:p>
      <w:pPr>
        <w:pStyle w:val="3"/>
        <w:rPr>
          <w:rFonts w:ascii="仿宋" w:hAnsi="仿宋" w:eastAsia="仿宋"/>
        </w:rPr>
      </w:pPr>
      <w:bookmarkStart w:id="63" w:name="_Toc15396619"/>
      <w:r>
        <w:rPr>
          <w:rFonts w:hint="eastAsia" w:ascii="仿宋" w:hAnsi="仿宋" w:eastAsia="仿宋"/>
          <w:b w:val="0"/>
        </w:rPr>
        <w:t>一、收</w:t>
      </w:r>
      <w:r>
        <w:rPr>
          <w:rStyle w:val="26"/>
          <w:rFonts w:hint="eastAsia" w:ascii="仿宋" w:hAnsi="仿宋" w:eastAsia="仿宋"/>
          <w:b w:val="0"/>
          <w:bCs w:val="0"/>
        </w:rPr>
        <w:t>入支出决算总表</w:t>
      </w:r>
      <w:bookmarkEnd w:id="63"/>
    </w:p>
    <w:p>
      <w:pPr>
        <w:pStyle w:val="3"/>
        <w:rPr>
          <w:rFonts w:ascii="仿宋" w:hAnsi="仿宋" w:eastAsia="仿宋"/>
        </w:rPr>
      </w:pPr>
      <w:bookmarkStart w:id="64" w:name="_Toc15396620"/>
      <w:r>
        <w:rPr>
          <w:rFonts w:hint="eastAsia" w:ascii="仿宋" w:hAnsi="仿宋" w:eastAsia="仿宋"/>
          <w:b w:val="0"/>
        </w:rPr>
        <w:t>二、收</w:t>
      </w:r>
      <w:r>
        <w:rPr>
          <w:rStyle w:val="26"/>
          <w:rFonts w:hint="eastAsia" w:ascii="仿宋" w:hAnsi="仿宋" w:eastAsia="仿宋"/>
          <w:b w:val="0"/>
          <w:bCs w:val="0"/>
        </w:rPr>
        <w:t>入总表</w:t>
      </w:r>
      <w:bookmarkEnd w:id="64"/>
    </w:p>
    <w:p>
      <w:pPr>
        <w:pStyle w:val="3"/>
        <w:rPr>
          <w:rFonts w:ascii="仿宋" w:hAnsi="仿宋" w:eastAsia="仿宋"/>
        </w:rPr>
      </w:pPr>
      <w:bookmarkStart w:id="6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5"/>
    </w:p>
    <w:p>
      <w:pPr>
        <w:pStyle w:val="3"/>
        <w:rPr>
          <w:rFonts w:ascii="仿宋" w:hAnsi="仿宋" w:eastAsia="仿宋"/>
          <w:b w:val="0"/>
        </w:rPr>
      </w:pPr>
      <w:bookmarkStart w:id="6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6"/>
    </w:p>
    <w:p>
      <w:pPr>
        <w:pStyle w:val="3"/>
        <w:rPr>
          <w:rFonts w:ascii="仿宋" w:hAnsi="仿宋" w:eastAsia="仿宋"/>
        </w:rPr>
      </w:pPr>
      <w:bookmarkStart w:id="6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rPr>
      </w:pPr>
      <w:bookmarkStart w:id="68"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rPr>
      </w:pPr>
      <w:bookmarkStart w:id="6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rPr>
      </w:pPr>
      <w:bookmarkStart w:id="7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rPr>
      </w:pPr>
      <w:bookmarkStart w:id="7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rPr>
      </w:pPr>
      <w:bookmarkStart w:id="72"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rPr>
      </w:pPr>
      <w:bookmarkStart w:id="73"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rPr>
      </w:pPr>
      <w:bookmarkStart w:id="74"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rPr>
      </w:pPr>
      <w:bookmarkStart w:id="7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5559D"/>
    <w:rsid w:val="00260C38"/>
    <w:rsid w:val="002616C0"/>
    <w:rsid w:val="002617DA"/>
    <w:rsid w:val="002662AA"/>
    <w:rsid w:val="0027365B"/>
    <w:rsid w:val="00275891"/>
    <w:rsid w:val="00280496"/>
    <w:rsid w:val="00295495"/>
    <w:rsid w:val="002A09B6"/>
    <w:rsid w:val="002B009B"/>
    <w:rsid w:val="002B2613"/>
    <w:rsid w:val="002B72EE"/>
    <w:rsid w:val="002D0309"/>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664BB"/>
    <w:rsid w:val="0057481D"/>
    <w:rsid w:val="0057680D"/>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370C"/>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1CCA"/>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F28BC"/>
    <w:rsid w:val="00DF34B9"/>
    <w:rsid w:val="00E01053"/>
    <w:rsid w:val="00E07ACF"/>
    <w:rsid w:val="00E11FBF"/>
    <w:rsid w:val="00E22629"/>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084B7B98"/>
    <w:rsid w:val="10C055FF"/>
    <w:rsid w:val="16BB723D"/>
    <w:rsid w:val="240371BF"/>
    <w:rsid w:val="29FD04D3"/>
    <w:rsid w:val="301D4CA6"/>
    <w:rsid w:val="319F7F4E"/>
    <w:rsid w:val="47C13909"/>
    <w:rsid w:val="73FA79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421B5-4F90-4464-86F8-9AE98CD0AE7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1494</Words>
  <Characters>8522</Characters>
  <Lines>71</Lines>
  <Paragraphs>19</Paragraphs>
  <TotalTime>26</TotalTime>
  <ScaleCrop>false</ScaleCrop>
  <LinksUpToDate>false</LinksUpToDate>
  <CharactersWithSpaces>9997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2021-05-22T04:19:12Z</dcterms:modified>
  <dc:title>四川省***</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275DD42889B247DEBE44CBBBEDA408E3</vt:lpwstr>
  </property>
</Properties>
</file>