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bookmarkEnd w:id="0"/>
    <w:p>
      <w:pPr>
        <w:adjustRightInd w:val="0"/>
        <w:snapToGrid w:val="0"/>
        <w:spacing w:line="360" w:lineRule="auto"/>
        <w:jc w:val="center"/>
        <w:outlineLvl w:val="0"/>
        <w:rPr>
          <w:rFonts w:hint="eastAsia" w:ascii="方正小标宋简体" w:hAnsi="宋体" w:eastAsia="方正小标宋简体"/>
          <w:sz w:val="72"/>
          <w:szCs w:val="72"/>
        </w:rPr>
      </w:pPr>
      <w:bookmarkStart w:id="1" w:name="_Toc15396598"/>
      <w:bookmarkStart w:id="2" w:name="_Toc15377194"/>
      <w:bookmarkStart w:id="3" w:name="_Toc15378442"/>
      <w:bookmarkStart w:id="4" w:name="_Toc15396476"/>
      <w:bookmarkStart w:id="5" w:name="_Toc15377426"/>
      <w:bookmarkStart w:id="6" w:name="_Toc15306268"/>
      <w:r>
        <w:rPr>
          <w:rFonts w:hint="eastAsia" w:ascii="方正小标宋简体" w:hAnsi="宋体" w:eastAsia="方正小标宋简体"/>
          <w:sz w:val="72"/>
          <w:szCs w:val="72"/>
        </w:rPr>
        <w:t>达川区赵家镇中心学校</w:t>
      </w:r>
    </w:p>
    <w:p>
      <w:pPr>
        <w:adjustRightInd w:val="0"/>
        <w:snapToGrid w:val="0"/>
        <w:spacing w:line="360" w:lineRule="auto"/>
        <w:jc w:val="center"/>
        <w:outlineLvl w:val="0"/>
        <w:rPr>
          <w:rFonts w:ascii="方正小标宋简体" w:hAnsi="宋体" w:eastAsia="方正小标宋简体"/>
          <w:sz w:val="72"/>
          <w:szCs w:val="72"/>
        </w:rPr>
      </w:pPr>
      <w:r>
        <w:rPr>
          <w:rFonts w:ascii="黑体" w:hAnsi="黑体" w:eastAsia="黑体"/>
          <w:sz w:val="72"/>
          <w:szCs w:val="72"/>
        </w:rPr>
        <w:t>201</w:t>
      </w:r>
      <w:r>
        <w:rPr>
          <w:rFonts w:hint="eastAsia" w:ascii="黑体" w:hAnsi="黑体" w:eastAsia="黑体"/>
          <w:sz w:val="72"/>
          <w:szCs w:val="72"/>
        </w:rPr>
        <w:t>8</w:t>
      </w:r>
      <w:r>
        <w:rPr>
          <w:rFonts w:hint="eastAsia" w:ascii="方正小标宋简体" w:hAnsi="宋体" w:eastAsia="方正小标宋简体"/>
          <w:sz w:val="72"/>
          <w:szCs w:val="72"/>
        </w:rPr>
        <w:t>年度</w:t>
      </w:r>
    </w:p>
    <w:p>
      <w:pPr>
        <w:adjustRightInd w:val="0"/>
        <w:snapToGrid w:val="0"/>
        <w:spacing w:line="360" w:lineRule="auto"/>
        <w:jc w:val="center"/>
        <w:outlineLvl w:val="0"/>
        <w:rPr>
          <w:rFonts w:hint="default" w:ascii="方正小标宋简体" w:hAnsi="宋体" w:eastAsia="方正小标宋简体"/>
          <w:sz w:val="72"/>
          <w:szCs w:val="72"/>
          <w:lang w:val="en-US" w:eastAsia="zh-CN"/>
        </w:rPr>
      </w:pPr>
      <w:r>
        <w:rPr>
          <w:rFonts w:hint="eastAsia" w:ascii="方正小标宋简体" w:hAnsi="宋体" w:eastAsia="方正小标宋简体"/>
          <w:sz w:val="72"/>
          <w:szCs w:val="72"/>
        </w:rPr>
        <w:t>部门决算</w:t>
      </w:r>
      <w:bookmarkEnd w:id="1"/>
      <w:bookmarkEnd w:id="2"/>
      <w:bookmarkEnd w:id="3"/>
      <w:bookmarkEnd w:id="4"/>
      <w:bookmarkEnd w:id="5"/>
      <w:bookmarkEnd w:id="6"/>
      <w:r>
        <w:rPr>
          <w:rFonts w:hint="eastAsia" w:ascii="方正小标宋简体" w:hAnsi="宋体" w:eastAsia="方正小标宋简体"/>
          <w:sz w:val="72"/>
          <w:szCs w:val="72"/>
          <w:lang w:val="en-US" w:eastAsia="zh-CN"/>
        </w:rPr>
        <w:t>编制说明</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r>
        <w:rPr>
          <w:rFonts w:ascii="黑体" w:hAnsi="黑体" w:eastAsia="黑体"/>
          <w:sz w:val="48"/>
          <w:szCs w:val="48"/>
        </w:rPr>
        <w:fldChar w:fldCharType="begin"/>
      </w:r>
      <w:r>
        <w:rPr>
          <w:rFonts w:ascii="黑体" w:hAnsi="黑体" w:eastAsia="黑体"/>
          <w:sz w:val="48"/>
          <w:szCs w:val="48"/>
        </w:rPr>
        <w:instrText xml:space="preserve"> TOC \o "1-2" \h \z \u </w:instrText>
      </w:r>
      <w:r>
        <w:rPr>
          <w:rFonts w:ascii="黑体" w:hAnsi="黑体" w:eastAsia="黑体"/>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6"/>
          <w:rFonts w:hint="eastAsia"/>
          <w:color w:val="auto"/>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color w:val="auto"/>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color w:val="auto"/>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color w:val="auto"/>
        </w:rPr>
        <w:t>第二部分</w:t>
      </w:r>
      <w:r>
        <w:rPr>
          <w:rStyle w:val="16"/>
          <w:color w:val="auto"/>
        </w:rPr>
        <w:t xml:space="preserve"> 2018</w:t>
      </w:r>
      <w:r>
        <w:rPr>
          <w:rStyle w:val="16"/>
          <w:rFonts w:hint="eastAsia"/>
          <w:color w:val="auto"/>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color w:val="auto"/>
          <w:sz w:val="28"/>
          <w:szCs w:val="28"/>
        </w:rPr>
        <w:t>一、</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color w:val="auto"/>
          <w:sz w:val="28"/>
          <w:szCs w:val="28"/>
        </w:rPr>
        <w:t>二、</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color w:val="auto"/>
          <w:sz w:val="28"/>
          <w:szCs w:val="28"/>
        </w:rPr>
        <w:t>三、</w:t>
      </w:r>
      <w:r>
        <w:rPr>
          <w:rStyle w:val="16"/>
          <w:rFonts w:hint="eastAsia" w:ascii="仿宋" w:hAnsi="仿宋" w:eastAsia="仿宋"/>
          <w:color w:val="auto"/>
          <w:sz w:val="28"/>
          <w:szCs w:val="28"/>
        </w:rPr>
        <w:t>支</w:t>
      </w:r>
      <w:r>
        <w:rPr>
          <w:rStyle w:val="16"/>
          <w:rFonts w:hint="eastAsia" w:ascii="仿宋" w:hAnsi="仿宋" w:eastAsia="仿宋" w:cstheme="majorBidi"/>
          <w:bCs/>
          <w:color w:val="auto"/>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color w:val="auto"/>
          <w:sz w:val="28"/>
          <w:szCs w:val="28"/>
        </w:rPr>
        <w:t>四、财</w:t>
      </w:r>
      <w:r>
        <w:rPr>
          <w:rStyle w:val="16"/>
          <w:rFonts w:hint="eastAsia" w:ascii="仿宋" w:hAnsi="仿宋" w:eastAsia="仿宋" w:cstheme="majorBidi"/>
          <w:bCs/>
          <w:color w:val="auto"/>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color w:val="auto"/>
          <w:sz w:val="28"/>
          <w:szCs w:val="28"/>
        </w:rPr>
        <w:t>五、一</w:t>
      </w:r>
      <w:r>
        <w:rPr>
          <w:rStyle w:val="16"/>
          <w:rFonts w:hint="eastAsia" w:ascii="仿宋" w:hAnsi="仿宋" w:eastAsia="仿宋" w:cstheme="majorBidi"/>
          <w:bCs/>
          <w:color w:val="auto"/>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color w:val="auto"/>
          <w:sz w:val="28"/>
          <w:szCs w:val="28"/>
        </w:rPr>
        <w:t>六、一</w:t>
      </w:r>
      <w:r>
        <w:rPr>
          <w:rStyle w:val="16"/>
          <w:rFonts w:hint="eastAsia" w:ascii="仿宋" w:hAnsi="仿宋" w:eastAsia="仿宋" w:cstheme="majorBidi"/>
          <w:bCs/>
          <w:color w:val="auto"/>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color w:val="auto"/>
          <w:sz w:val="28"/>
          <w:szCs w:val="28"/>
        </w:rPr>
        <w:t>七、</w:t>
      </w:r>
      <w:r>
        <w:rPr>
          <w:rStyle w:val="16"/>
          <w:rFonts w:ascii="仿宋" w:hAnsi="仿宋" w:eastAsia="仿宋"/>
          <w:color w:val="auto"/>
          <w:sz w:val="28"/>
          <w:szCs w:val="28"/>
        </w:rPr>
        <w:t>“</w:t>
      </w:r>
      <w:r>
        <w:rPr>
          <w:rStyle w:val="16"/>
          <w:rFonts w:hint="eastAsia" w:ascii="仿宋" w:hAnsi="仿宋" w:eastAsia="仿宋" w:cstheme="majorBidi"/>
          <w:bCs/>
          <w:color w:val="auto"/>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color w:val="auto"/>
          <w:sz w:val="28"/>
          <w:szCs w:val="28"/>
        </w:rPr>
        <w:t>八、</w:t>
      </w:r>
      <w:r>
        <w:rPr>
          <w:rStyle w:val="16"/>
          <w:rFonts w:hint="eastAsia" w:ascii="仿宋" w:hAnsi="仿宋" w:eastAsia="仿宋" w:cstheme="majorBidi"/>
          <w:bCs/>
          <w:color w:val="auto"/>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color w:val="auto"/>
          <w:sz w:val="28"/>
          <w:szCs w:val="28"/>
        </w:rPr>
        <w:t>九、</w:t>
      </w:r>
      <w:r>
        <w:rPr>
          <w:rStyle w:val="16"/>
          <w:rFonts w:hint="eastAsia" w:ascii="仿宋" w:hAnsi="仿宋" w:eastAsia="仿宋"/>
          <w:color w:val="auto"/>
          <w:sz w:val="28"/>
          <w:szCs w:val="28"/>
        </w:rPr>
        <w:t xml:space="preserve"> 国</w:t>
      </w:r>
      <w:r>
        <w:rPr>
          <w:rStyle w:val="16"/>
          <w:rFonts w:hint="eastAsia" w:ascii="仿宋" w:hAnsi="仿宋" w:eastAsia="仿宋" w:cstheme="majorBidi"/>
          <w:bCs/>
          <w:color w:val="auto"/>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color w:val="auto"/>
          <w:sz w:val="28"/>
          <w:szCs w:val="28"/>
        </w:rPr>
        <w:t>十</w:t>
      </w:r>
      <w:r>
        <w:rPr>
          <w:rStyle w:val="16"/>
          <w:rFonts w:hint="eastAsia" w:ascii="仿宋" w:hAnsi="仿宋" w:eastAsia="仿宋" w:cstheme="majorBidi"/>
          <w:bCs/>
          <w:color w:val="auto"/>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color w:val="auto"/>
          <w:kern w:val="44"/>
        </w:rPr>
        <w:t>第三部分</w:t>
      </w:r>
      <w:r>
        <w:rPr>
          <w:rStyle w:val="16"/>
          <w:rFonts w:hint="eastAsia"/>
          <w:color w:val="auto"/>
        </w:rPr>
        <w:t xml:space="preserve"> 名</w:t>
      </w:r>
      <w:r>
        <w:rPr>
          <w:rStyle w:val="16"/>
          <w:rFonts w:hint="eastAsia"/>
          <w:bCs/>
          <w:color w:val="auto"/>
          <w:kern w:val="44"/>
        </w:rPr>
        <w:t>词解释</w:t>
      </w:r>
      <w:r>
        <w:tab/>
      </w:r>
      <w:r>
        <w:fldChar w:fldCharType="begin"/>
      </w:r>
      <w:r>
        <w:instrText xml:space="preserve"> PAGEREF _Toc15396613 \h </w:instrText>
      </w:r>
      <w:r>
        <w:fldChar w:fldCharType="separate"/>
      </w:r>
      <w:r>
        <w:t>18</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color w:val="auto"/>
        </w:rPr>
        <w:t>第</w:t>
      </w:r>
      <w:r>
        <w:rPr>
          <w:rStyle w:val="16"/>
          <w:rFonts w:hint="eastAsia"/>
          <w:bCs/>
          <w:color w:val="auto"/>
          <w:kern w:val="44"/>
        </w:rPr>
        <w:t>四部分附件</w:t>
      </w:r>
      <w:r>
        <w:tab/>
      </w:r>
      <w:r>
        <w:fldChar w:fldCharType="begin"/>
      </w:r>
      <w:r>
        <w:instrText xml:space="preserve"> PAGEREF _Toc15396614 \h </w:instrText>
      </w:r>
      <w:r>
        <w:fldChar w:fldCharType="separate"/>
      </w:r>
      <w:r>
        <w:t>20</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color w:val="auto"/>
        </w:rPr>
        <w:t>第</w:t>
      </w:r>
      <w:r>
        <w:rPr>
          <w:rStyle w:val="16"/>
          <w:rFonts w:hint="eastAsia"/>
          <w:bCs/>
          <w:color w:val="auto"/>
          <w:kern w:val="44"/>
        </w:rPr>
        <w:t>五部分附表</w:t>
      </w:r>
      <w:r>
        <w:tab/>
      </w:r>
      <w:r>
        <w:fldChar w:fldCharType="begin"/>
      </w:r>
      <w:r>
        <w:instrText xml:space="preserve"> PAGEREF _Toc15396618 \h </w:instrText>
      </w:r>
      <w:r>
        <w:fldChar w:fldCharType="separate"/>
      </w:r>
      <w:r>
        <w:t>25</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color w:val="auto"/>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color w:val="auto"/>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color w:val="auto"/>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color w:val="auto"/>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color w:val="auto"/>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color w:val="auto"/>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color w:val="auto"/>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color w:val="auto"/>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color w:val="auto"/>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color w:val="auto"/>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color w:val="auto"/>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color w:val="auto"/>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sz w:val="24"/>
        </w:rPr>
      </w:pPr>
      <w:r>
        <w:rPr>
          <w:rFonts w:ascii="仿宋" w:hAnsi="仿宋" w:eastAsia="仿宋"/>
          <w:sz w:val="24"/>
        </w:rPr>
        <w:fldChar w:fldCharType="end"/>
      </w:r>
    </w:p>
    <w:p>
      <w:pPr>
        <w:widowControl/>
        <w:jc w:val="left"/>
        <w:rPr>
          <w:rFonts w:ascii="黑体" w:hAnsi="黑体" w:eastAsia="黑体"/>
          <w:bCs/>
          <w:kern w:val="44"/>
          <w:sz w:val="44"/>
          <w:szCs w:val="44"/>
        </w:rPr>
      </w:pPr>
      <w:bookmarkStart w:id="7" w:name="_Toc15377196"/>
      <w:bookmarkStart w:id="8" w:name="_Toc15396599"/>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7"/>
      <w:bookmarkEnd w:id="8"/>
    </w:p>
    <w:p>
      <w:pPr>
        <w:widowControl/>
        <w:jc w:val="left"/>
        <w:rPr>
          <w:rFonts w:ascii="黑体" w:eastAsia="黑体"/>
          <w:sz w:val="32"/>
          <w:szCs w:val="32"/>
        </w:rPr>
      </w:pPr>
    </w:p>
    <w:p>
      <w:pPr>
        <w:pStyle w:val="3"/>
        <w:rPr>
          <w:rStyle w:val="26"/>
          <w:rFonts w:ascii="仿宋" w:hAnsi="仿宋" w:eastAsia="仿宋"/>
          <w:b w:val="0"/>
          <w:bCs w:val="0"/>
        </w:rPr>
      </w:pPr>
      <w:bookmarkStart w:id="9" w:name="_Toc15396600"/>
      <w:bookmarkStart w:id="10" w:name="_Toc15377197"/>
      <w:r>
        <w:rPr>
          <w:rFonts w:hint="eastAsia" w:ascii="黑体" w:hAnsi="黑体" w:eastAsia="黑体"/>
          <w:b w:val="0"/>
        </w:rPr>
        <w:t>一、基</w:t>
      </w:r>
      <w:r>
        <w:rPr>
          <w:rStyle w:val="26"/>
          <w:rFonts w:hint="eastAsia" w:ascii="黑体" w:hAnsi="黑体" w:eastAsia="黑体"/>
          <w:b w:val="0"/>
          <w:bCs w:val="0"/>
        </w:rPr>
        <w:t>本职能及主要工作</w:t>
      </w:r>
      <w:bookmarkEnd w:id="9"/>
      <w:bookmarkEnd w:id="10"/>
    </w:p>
    <w:p>
      <w:pPr>
        <w:pStyle w:val="5"/>
        <w:adjustRightInd w:val="0"/>
        <w:snapToGrid w:val="0"/>
        <w:spacing w:before="93" w:line="600" w:lineRule="exact"/>
        <w:ind w:firstLine="672" w:firstLineChars="210"/>
        <w:outlineLvl w:val="2"/>
        <w:rPr>
          <w:rFonts w:ascii="仿宋" w:hAnsi="仿宋" w:eastAsia="仿宋"/>
          <w:bCs/>
          <w:sz w:val="32"/>
          <w:szCs w:val="32"/>
        </w:rPr>
      </w:pPr>
      <w:bookmarkStart w:id="11" w:name="_Toc15378445"/>
      <w:bookmarkStart w:id="12" w:name="_Toc15377198"/>
      <w:r>
        <w:rPr>
          <w:rFonts w:hint="eastAsia" w:ascii="仿宋" w:hAnsi="仿宋" w:eastAsia="仿宋"/>
          <w:bCs/>
          <w:sz w:val="32"/>
          <w:szCs w:val="32"/>
        </w:rPr>
        <w:t>（一）主要职能。</w:t>
      </w:r>
      <w:bookmarkEnd w:id="11"/>
      <w:bookmarkEnd w:id="12"/>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pStyle w:val="5"/>
        <w:adjustRightInd w:val="0"/>
        <w:snapToGrid w:val="0"/>
        <w:spacing w:before="93" w:line="600" w:lineRule="exact"/>
        <w:ind w:firstLine="672" w:firstLineChars="210"/>
        <w:outlineLvl w:val="2"/>
        <w:rPr>
          <w:rFonts w:ascii="仿宋" w:hAnsi="仿宋" w:eastAsia="仿宋"/>
          <w:bCs/>
          <w:sz w:val="32"/>
          <w:szCs w:val="32"/>
        </w:rPr>
      </w:pPr>
      <w:bookmarkStart w:id="13" w:name="_Toc15377199"/>
      <w:bookmarkStart w:id="14" w:name="_Toc15378446"/>
      <w:r>
        <w:rPr>
          <w:rFonts w:hint="eastAsia" w:ascii="仿宋" w:hAnsi="仿宋" w:eastAsia="仿宋"/>
          <w:bCs/>
          <w:sz w:val="32"/>
          <w:szCs w:val="32"/>
        </w:rPr>
        <w:t>（二）</w:t>
      </w:r>
      <w:r>
        <w:rPr>
          <w:rFonts w:ascii="仿宋" w:hAnsi="仿宋" w:eastAsia="仿宋"/>
          <w:bCs/>
          <w:sz w:val="32"/>
          <w:szCs w:val="32"/>
        </w:rPr>
        <w:t>201</w:t>
      </w:r>
      <w:r>
        <w:rPr>
          <w:rFonts w:hint="eastAsia" w:ascii="仿宋" w:hAnsi="仿宋" w:eastAsia="仿宋"/>
          <w:bCs/>
          <w:sz w:val="32"/>
          <w:szCs w:val="32"/>
        </w:rPr>
        <w:t>8年重点工作完成情况。</w:t>
      </w:r>
      <w:bookmarkEnd w:id="13"/>
      <w:bookmarkEnd w:id="14"/>
    </w:p>
    <w:p>
      <w:pPr>
        <w:pStyle w:val="5"/>
        <w:adjustRightInd w:val="0"/>
        <w:snapToGrid w:val="0"/>
        <w:spacing w:before="93" w:line="578" w:lineRule="exact"/>
        <w:ind w:firstLine="672" w:firstLineChars="210"/>
        <w:rPr>
          <w:rFonts w:ascii="仿宋" w:hAnsi="仿宋" w:eastAsia="仿宋"/>
          <w:bCs/>
          <w:sz w:val="32"/>
          <w:szCs w:val="32"/>
        </w:rPr>
      </w:pPr>
      <w:r>
        <w:rPr>
          <w:rFonts w:hint="eastAsia" w:ascii="仿宋" w:hAnsi="仿宋" w:eastAsia="仿宋"/>
          <w:bCs/>
          <w:sz w:val="32"/>
          <w:szCs w:val="32"/>
        </w:rPr>
        <w:t>全面实施和完成对学生的教育教学任务，加强教学工作、深化教学改革，提高教育质量。继续推进学科建设工程，努力实现学科建设上层次。继续推进产学研合作，全力推动教学科研工作上水平。继续实施“人才强校”战略，着力建设高水平人才队伍。</w:t>
      </w:r>
    </w:p>
    <w:p>
      <w:pPr>
        <w:pStyle w:val="3"/>
        <w:rPr>
          <w:rStyle w:val="26"/>
          <w:b w:val="0"/>
          <w:bCs w:val="0"/>
        </w:rPr>
      </w:pPr>
      <w:bookmarkStart w:id="15" w:name="_Toc15396601"/>
      <w:bookmarkStart w:id="16" w:name="_Toc15377200"/>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15"/>
      <w:bookmarkEnd w:id="16"/>
    </w:p>
    <w:p>
      <w:pPr>
        <w:pStyle w:val="5"/>
        <w:adjustRightInd w:val="0"/>
        <w:snapToGrid w:val="0"/>
        <w:spacing w:before="93" w:line="578" w:lineRule="exact"/>
        <w:ind w:firstLine="672" w:firstLineChars="210"/>
        <w:rPr>
          <w:rFonts w:ascii="仿宋" w:hAnsi="仿宋" w:eastAsia="仿宋"/>
          <w:sz w:val="32"/>
          <w:szCs w:val="32"/>
        </w:rPr>
      </w:pPr>
      <w:r>
        <w:rPr>
          <w:rFonts w:hint="eastAsia" w:ascii="仿宋" w:hAnsi="仿宋" w:eastAsia="仿宋"/>
          <w:sz w:val="32"/>
          <w:szCs w:val="32"/>
        </w:rPr>
        <w:t>我校属达川区教育和科学技术局下属二级</w:t>
      </w:r>
      <w:r>
        <w:rPr>
          <w:rFonts w:hint="eastAsia" w:ascii="仿宋" w:hAnsi="仿宋" w:eastAsia="仿宋"/>
          <w:sz w:val="32"/>
          <w:szCs w:val="32"/>
          <w:lang w:val="en-US" w:eastAsia="zh-CN"/>
        </w:rPr>
        <w:t>预算事业</w:t>
      </w:r>
      <w:r>
        <w:rPr>
          <w:rFonts w:hint="eastAsia" w:ascii="仿宋" w:hAnsi="仿宋" w:eastAsia="仿宋"/>
          <w:sz w:val="32"/>
          <w:szCs w:val="32"/>
        </w:rPr>
        <w:t>单位。单位性质属全额拨款事业单位。</w:t>
      </w:r>
    </w:p>
    <w:p>
      <w:pPr>
        <w:ind w:firstLine="800" w:firstLineChars="250"/>
        <w:rPr>
          <w:rFonts w:ascii="仿宋" w:hAnsi="仿宋" w:eastAsia="仿宋"/>
          <w:kern w:val="0"/>
          <w:sz w:val="32"/>
          <w:szCs w:val="32"/>
        </w:rPr>
      </w:pPr>
    </w:p>
    <w:p>
      <w:pPr>
        <w:pStyle w:val="2"/>
        <w:ind w:right="440"/>
        <w:jc w:val="right"/>
        <w:rPr>
          <w:rStyle w:val="25"/>
          <w:rFonts w:ascii="黑体" w:hAnsi="黑体" w:eastAsia="黑体"/>
          <w:b w:val="0"/>
          <w:bCs w:val="0"/>
        </w:rPr>
      </w:pPr>
      <w:bookmarkStart w:id="17" w:name="_Toc15377204"/>
      <w:bookmarkStart w:id="18" w:name="_Toc15396602"/>
      <w:r>
        <w:rPr>
          <w:rFonts w:hint="eastAsia" w:ascii="黑体" w:hAnsi="黑体" w:eastAsia="黑体"/>
          <w:b w:val="0"/>
        </w:rPr>
        <w:t>第二部分</w:t>
      </w:r>
      <w:r>
        <w:rPr>
          <w:rStyle w:val="25"/>
          <w:rFonts w:hint="eastAsia" w:ascii="黑体" w:hAnsi="黑体" w:eastAsia="黑体"/>
          <w:b w:val="0"/>
          <w:bCs w:val="0"/>
        </w:rPr>
        <w:t>2018年度部门决算情况说明</w:t>
      </w:r>
      <w:bookmarkEnd w:id="17"/>
      <w:bookmarkEnd w:id="18"/>
    </w:p>
    <w:p/>
    <w:p>
      <w:pPr>
        <w:pStyle w:val="24"/>
        <w:numPr>
          <w:ilvl w:val="0"/>
          <w:numId w:val="1"/>
        </w:numPr>
        <w:spacing w:line="600" w:lineRule="exact"/>
        <w:ind w:firstLineChars="0"/>
        <w:outlineLvl w:val="1"/>
        <w:rPr>
          <w:rStyle w:val="26"/>
          <w:rFonts w:ascii="黑体" w:hAnsi="黑体" w:eastAsia="黑体"/>
          <w:b w:val="0"/>
        </w:rPr>
      </w:pPr>
      <w:bookmarkStart w:id="19" w:name="_Toc15396603"/>
      <w:bookmarkStart w:id="20"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19"/>
      <w:bookmarkEnd w:id="20"/>
    </w:p>
    <w:p>
      <w:pPr>
        <w:spacing w:line="600" w:lineRule="exact"/>
        <w:ind w:firstLine="640" w:firstLineChars="200"/>
        <w:rPr>
          <w:rFonts w:ascii="仿宋" w:hAnsi="仿宋" w:eastAsia="仿宋"/>
          <w:sz w:val="32"/>
          <w:szCs w:val="32"/>
        </w:rPr>
      </w:pPr>
      <w:r>
        <w:rPr>
          <w:rFonts w:hint="eastAsia" w:ascii="仿宋" w:hAnsi="仿宋" w:eastAsia="仿宋"/>
          <w:sz w:val="32"/>
          <w:szCs w:val="32"/>
        </w:rPr>
        <w:t>2018年度收、支总计2704.82万元。与2017年相比，收、支总计各增加1426.26万元，增长111.55</w:t>
      </w:r>
      <w:r>
        <w:rPr>
          <w:rFonts w:ascii="仿宋" w:hAnsi="仿宋" w:eastAsia="仿宋"/>
          <w:sz w:val="32"/>
          <w:szCs w:val="32"/>
        </w:rPr>
        <w:t>%</w:t>
      </w:r>
      <w:r>
        <w:rPr>
          <w:rFonts w:hint="eastAsia" w:ascii="仿宋" w:hAnsi="仿宋" w:eastAsia="仿宋"/>
          <w:sz w:val="32"/>
          <w:szCs w:val="32"/>
        </w:rPr>
        <w:t>。主要变动原因是人员经费和项目支出增加。</w:t>
      </w:r>
    </w:p>
    <w:p>
      <w:pPr>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1908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1" w:name="_Toc15377206"/>
      <w:bookmarkStart w:id="22" w:name="_Toc15396604"/>
      <w:r>
        <w:rPr>
          <w:rFonts w:hint="eastAsia" w:ascii="黑体" w:hAnsi="黑体" w:eastAsia="黑体"/>
          <w:sz w:val="32"/>
          <w:szCs w:val="32"/>
        </w:rPr>
        <w:t>收</w:t>
      </w:r>
      <w:r>
        <w:rPr>
          <w:rStyle w:val="26"/>
          <w:rFonts w:hint="eastAsia" w:ascii="黑体" w:hAnsi="黑体" w:eastAsia="黑体"/>
          <w:b w:val="0"/>
        </w:rPr>
        <w:t>入决算情况说明</w:t>
      </w:r>
      <w:bookmarkEnd w:id="21"/>
      <w:bookmarkEnd w:id="22"/>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本年收入合计2552.44万元，其中：一般公共预算财政拨款收入2512.4万元，占98.43%；政府性基金预算财政拨款收入32.31万元，占1.27%；国有资本经营预算财政拨款收入0万元，占0%；事业收入7.73万元，占0.3%；经营收入0万元，占0%；附属单位上缴收入0万元，占0%；其他收入0万元，占0%。</w:t>
      </w:r>
    </w:p>
    <w:p>
      <w:pPr>
        <w:ind w:firstLine="640" w:firstLineChars="200"/>
        <w:rPr>
          <w:rFonts w:ascii="仿宋" w:hAnsi="仿宋" w:eastAsia="仿宋"/>
          <w:sz w:val="32"/>
          <w:szCs w:val="32"/>
        </w:rPr>
      </w:pPr>
      <w:r>
        <w:rPr>
          <w:rFonts w:hint="eastAsia" w:ascii="仿宋" w:hAnsi="仿宋" w:eastAsia="仿宋"/>
          <w:sz w:val="32"/>
          <w:szCs w:val="32"/>
        </w:rPr>
        <w:t>（图2：收入决算结构图）（饼状图）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67325" cy="3390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3" w:name="_Toc15377207"/>
      <w:bookmarkStart w:id="24" w:name="_Toc15396605"/>
      <w:r>
        <w:rPr>
          <w:rFonts w:hint="eastAsia" w:ascii="黑体" w:hAnsi="黑体" w:eastAsia="黑体"/>
          <w:sz w:val="32"/>
          <w:szCs w:val="32"/>
        </w:rPr>
        <w:t>支</w:t>
      </w:r>
      <w:r>
        <w:rPr>
          <w:rStyle w:val="26"/>
          <w:rFonts w:hint="eastAsia" w:ascii="黑体" w:hAnsi="黑体" w:eastAsia="黑体"/>
          <w:b w:val="0"/>
        </w:rPr>
        <w:t>出决算情况说明</w:t>
      </w:r>
      <w:bookmarkEnd w:id="23"/>
      <w:bookmarkEnd w:id="24"/>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8年本年支出合计1815.44万元，其中：基本支出1783.13万元，占98.22%；项目支出32.31万元，占1.78%；上缴上级支出0万元，占0%；经营支出0万元，占0%；对附属单位补助支出0万元，占0%。</w:t>
      </w:r>
    </w:p>
    <w:p>
      <w:pPr>
        <w:ind w:firstLine="640" w:firstLineChars="200"/>
        <w:rPr>
          <w:rFonts w:ascii="仿宋" w:hAnsi="仿宋" w:eastAsia="仿宋"/>
          <w:sz w:val="32"/>
          <w:szCs w:val="32"/>
        </w:rPr>
      </w:pPr>
      <w:r>
        <w:rPr>
          <w:rFonts w:hint="eastAsia" w:ascii="仿宋" w:hAnsi="仿宋" w:eastAsia="仿宋"/>
          <w:sz w:val="32"/>
          <w:szCs w:val="32"/>
        </w:rPr>
        <w:t>（图3：支出决算结构图）（饼状图）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67325" cy="3390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25" w:name="_Toc15396606"/>
      <w:bookmarkStart w:id="26"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5"/>
      <w:bookmarkEnd w:id="26"/>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8年财政拨款收、支总计2697.09万元。与</w:t>
      </w:r>
      <w:r>
        <w:rPr>
          <w:rFonts w:ascii="仿宋" w:hAnsi="仿宋" w:eastAsia="仿宋"/>
          <w:sz w:val="32"/>
          <w:szCs w:val="32"/>
        </w:rPr>
        <w:t>201</w:t>
      </w:r>
      <w:r>
        <w:rPr>
          <w:rFonts w:hint="eastAsia" w:ascii="仿宋" w:hAnsi="仿宋" w:eastAsia="仿宋"/>
          <w:sz w:val="32"/>
          <w:szCs w:val="32"/>
        </w:rPr>
        <w:t>7年相比，财政拨款收、支总计各增加1425.18万元，增长112.05%。主要变动原因是人员经费和项目支出增加。</w:t>
      </w:r>
    </w:p>
    <w:p>
      <w:pPr>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b/>
                <w:sz w:val="32"/>
                <w:szCs w:val="32"/>
              </w:rPr>
            </w:pPr>
            <w:r>
              <w:rPr>
                <w:rFonts w:ascii="仿宋" w:hAnsi="仿宋" w:eastAsia="仿宋"/>
                <w:b/>
                <w:sz w:val="32"/>
                <w:szCs w:val="32"/>
              </w:rPr>
              <w:drawing>
                <wp:inline distT="0" distB="0" distL="0" distR="0">
                  <wp:extent cx="5267325" cy="3190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27" w:name="_Toc15377209"/>
      <w:bookmarkStart w:id="28"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7"/>
      <w:bookmarkEnd w:id="28"/>
    </w:p>
    <w:p>
      <w:pPr>
        <w:spacing w:line="600" w:lineRule="exact"/>
        <w:ind w:firstLine="643" w:firstLineChars="200"/>
        <w:outlineLvl w:val="2"/>
        <w:rPr>
          <w:rFonts w:ascii="仿宋" w:hAnsi="仿宋" w:eastAsia="仿宋"/>
          <w:b/>
          <w:sz w:val="32"/>
          <w:szCs w:val="32"/>
        </w:rPr>
      </w:pPr>
      <w:bookmarkStart w:id="29" w:name="_Toc15377210"/>
      <w:r>
        <w:rPr>
          <w:rFonts w:hint="eastAsia" w:ascii="仿宋" w:hAnsi="仿宋" w:eastAsia="仿宋"/>
          <w:b/>
          <w:sz w:val="32"/>
          <w:szCs w:val="32"/>
        </w:rPr>
        <w:t>（一）一般公共预算财政拨款支出决算总体情况</w:t>
      </w:r>
      <w:bookmarkEnd w:id="29"/>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8年一般公共预算财政拨款支出1775.4万元，占本年支出合计的65.83%。与</w:t>
      </w:r>
      <w:r>
        <w:rPr>
          <w:rFonts w:ascii="仿宋" w:hAnsi="仿宋" w:eastAsia="仿宋"/>
          <w:sz w:val="32"/>
          <w:szCs w:val="32"/>
        </w:rPr>
        <w:t>201</w:t>
      </w:r>
      <w:r>
        <w:rPr>
          <w:rFonts w:hint="eastAsia" w:ascii="仿宋" w:hAnsi="仿宋" w:eastAsia="仿宋"/>
          <w:sz w:val="32"/>
          <w:szCs w:val="32"/>
        </w:rPr>
        <w:t>7年相比，一般公共预算财政拨款增加503.49万元，增长39.59%。主要变动原因是人员经费和项目支出增加。</w:t>
      </w:r>
    </w:p>
    <w:p>
      <w:pPr>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1908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67325" cy="3190875"/>
                          </a:xfrm>
                          <a:prstGeom prst="rect">
                            <a:avLst/>
                          </a:prstGeom>
                          <a:noFill/>
                          <a:ln>
                            <a:noFill/>
                          </a:ln>
                        </pic:spPr>
                      </pic:pic>
                    </a:graphicData>
                  </a:graphic>
                </wp:inline>
              </w:drawing>
            </w:r>
          </w:p>
        </w:tc>
      </w:tr>
    </w:tbl>
    <w:p>
      <w:pPr>
        <w:spacing w:line="600" w:lineRule="exact"/>
        <w:ind w:firstLine="643" w:firstLineChars="200"/>
        <w:outlineLvl w:val="2"/>
        <w:rPr>
          <w:rFonts w:ascii="仿宋" w:hAnsi="仿宋" w:eastAsia="仿宋"/>
          <w:b/>
          <w:sz w:val="32"/>
          <w:szCs w:val="32"/>
        </w:rPr>
      </w:pPr>
      <w:bookmarkStart w:id="30" w:name="_Toc15377211"/>
      <w:r>
        <w:rPr>
          <w:rFonts w:hint="eastAsia" w:ascii="仿宋" w:hAnsi="仿宋" w:eastAsia="仿宋"/>
          <w:b/>
          <w:sz w:val="32"/>
          <w:szCs w:val="32"/>
        </w:rPr>
        <w:t>（二）一般公共预算财政拨款支出决算结构情况</w:t>
      </w:r>
      <w:bookmarkEnd w:id="30"/>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8年一般公共预算财政拨款支出1775.4万元，主要用于以下方面</w:t>
      </w:r>
      <w:r>
        <w:rPr>
          <w:rFonts w:ascii="仿宋" w:hAnsi="仿宋" w:eastAsia="仿宋"/>
          <w:sz w:val="32"/>
          <w:szCs w:val="32"/>
        </w:rPr>
        <w:t>:</w:t>
      </w:r>
      <w:r>
        <w:rPr>
          <w:rFonts w:hint="eastAsia" w:ascii="仿宋" w:hAnsi="仿宋" w:eastAsia="仿宋"/>
          <w:sz w:val="32"/>
          <w:szCs w:val="32"/>
        </w:rPr>
        <w:t>一般公共服务（类）支出0万元，占0%；教育（类）支出1469.3万元，占82.76%；社会保障和就业（类）支出174.83万元，占9.85%；医疗卫生与计划生育（类）支出45.83万元，占2.58%；城乡社区（类）支出0万元，占0%；住房保障（类）支出85.44万元，占4.81%；其他（类）支出0万元，占0%。</w:t>
      </w:r>
    </w:p>
    <w:p>
      <w:pPr>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390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pPr>
        <w:spacing w:line="600" w:lineRule="exact"/>
        <w:ind w:firstLine="643" w:firstLineChars="200"/>
        <w:outlineLvl w:val="2"/>
        <w:rPr>
          <w:rFonts w:ascii="仿宋" w:hAnsi="仿宋" w:eastAsia="仿宋"/>
          <w:b/>
          <w:sz w:val="32"/>
          <w:szCs w:val="32"/>
        </w:rPr>
      </w:pPr>
      <w:bookmarkStart w:id="31" w:name="_Toc15377212"/>
      <w:r>
        <w:rPr>
          <w:rFonts w:hint="eastAsia" w:ascii="仿宋" w:hAnsi="仿宋" w:eastAsia="仿宋"/>
          <w:b/>
          <w:sz w:val="32"/>
          <w:szCs w:val="32"/>
        </w:rPr>
        <w:t>（三）一般公共预算财政拨款支出决算具体情况</w:t>
      </w:r>
      <w:bookmarkEnd w:id="31"/>
    </w:p>
    <w:p>
      <w:pPr>
        <w:spacing w:line="600" w:lineRule="exact"/>
        <w:ind w:firstLine="643" w:firstLineChars="200"/>
        <w:outlineLvl w:val="2"/>
        <w:rPr>
          <w:rFonts w:ascii="仿宋" w:hAnsi="仿宋" w:eastAsia="仿宋"/>
          <w:sz w:val="32"/>
          <w:szCs w:val="32"/>
        </w:rPr>
      </w:pPr>
      <w:bookmarkStart w:id="32" w:name="_Toc15378460"/>
      <w:bookmarkStart w:id="33" w:name="_Toc15377213"/>
      <w:bookmarkStart w:id="34" w:name="_Toc15377444"/>
      <w:r>
        <w:rPr>
          <w:rFonts w:hint="eastAsia" w:ascii="仿宋" w:hAnsi="仿宋" w:eastAsia="仿宋"/>
          <w:b/>
          <w:sz w:val="32"/>
          <w:szCs w:val="32"/>
        </w:rPr>
        <w:t>2018年一般公共预算支出决算数为1775.4万元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2"/>
      <w:bookmarkEnd w:id="33"/>
      <w:bookmarkEnd w:id="34"/>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一般公共服务201（类）10（款）99（项）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0</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ascii="仿宋" w:hAnsi="仿宋" w:eastAsia="仿宋"/>
          <w:bCs/>
          <w:sz w:val="32"/>
          <w:szCs w:val="32"/>
        </w:rPr>
        <w:t>2.</w:t>
      </w:r>
      <w:r>
        <w:rPr>
          <w:rStyle w:val="15"/>
          <w:rFonts w:hint="eastAsia" w:ascii="仿宋" w:hAnsi="仿宋" w:eastAsia="仿宋"/>
          <w:bCs/>
          <w:sz w:val="32"/>
          <w:szCs w:val="32"/>
        </w:rPr>
        <w:t>教育205（类）02（款）</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1469.3</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Style w:val="15"/>
          <w:rFonts w:hint="eastAsia" w:ascii="仿宋" w:hAnsi="仿宋" w:eastAsia="仿宋"/>
          <w:bCs/>
          <w:sz w:val="32"/>
          <w:szCs w:val="32"/>
        </w:rPr>
        <w:t>社会保障和就业208（类）05（款）05（项）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174.83</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Style w:val="15"/>
          <w:rFonts w:hint="eastAsia" w:ascii="仿宋" w:hAnsi="仿宋" w:eastAsia="仿宋"/>
          <w:bCs/>
          <w:sz w:val="32"/>
          <w:szCs w:val="32"/>
        </w:rPr>
        <w:t>4</w:t>
      </w:r>
      <w:r>
        <w:rPr>
          <w:rStyle w:val="15"/>
          <w:rFonts w:ascii="仿宋" w:hAnsi="仿宋" w:eastAsia="仿宋"/>
          <w:bCs/>
          <w:sz w:val="32"/>
          <w:szCs w:val="32"/>
        </w:rPr>
        <w:t>.</w:t>
      </w:r>
      <w:r>
        <w:rPr>
          <w:rStyle w:val="15"/>
          <w:rFonts w:hint="eastAsia" w:ascii="仿宋" w:hAnsi="仿宋" w:eastAsia="仿宋"/>
          <w:bCs/>
          <w:sz w:val="32"/>
          <w:szCs w:val="32"/>
        </w:rPr>
        <w:t>医疗卫生与计划生育210（类）11（款）02（项）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45.83</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Fonts w:hint="eastAsia" w:ascii="仿宋" w:hAnsi="仿宋" w:eastAsia="仿宋"/>
          <w:b/>
          <w:sz w:val="32"/>
          <w:szCs w:val="32"/>
        </w:rPr>
        <w:t>5.城乡社区212</w:t>
      </w:r>
      <w:r>
        <w:rPr>
          <w:rStyle w:val="15"/>
          <w:rFonts w:hint="eastAsia" w:ascii="仿宋" w:hAnsi="仿宋" w:eastAsia="仿宋"/>
          <w:bCs/>
          <w:sz w:val="32"/>
          <w:szCs w:val="32"/>
        </w:rPr>
        <w:t>（类）</w:t>
      </w:r>
      <w:r>
        <w:rPr>
          <w:rFonts w:hint="eastAsia" w:ascii="仿宋" w:hAnsi="仿宋" w:eastAsia="仿宋"/>
          <w:b/>
          <w:sz w:val="32"/>
          <w:szCs w:val="32"/>
        </w:rPr>
        <w:t>08</w:t>
      </w:r>
      <w:r>
        <w:rPr>
          <w:rStyle w:val="15"/>
          <w:rFonts w:hint="eastAsia" w:ascii="仿宋" w:hAnsi="仿宋" w:eastAsia="仿宋"/>
          <w:bCs/>
          <w:sz w:val="32"/>
          <w:szCs w:val="32"/>
        </w:rPr>
        <w:t>（款）</w:t>
      </w:r>
      <w:r>
        <w:rPr>
          <w:rFonts w:hint="eastAsia" w:ascii="仿宋" w:hAnsi="仿宋" w:eastAsia="仿宋"/>
          <w:b/>
          <w:sz w:val="32"/>
          <w:szCs w:val="32"/>
        </w:rPr>
        <w:t>99</w:t>
      </w:r>
      <w:r>
        <w:rPr>
          <w:rStyle w:val="15"/>
          <w:rFonts w:hint="eastAsia" w:ascii="仿宋" w:hAnsi="仿宋" w:eastAsia="仿宋"/>
          <w:bCs/>
          <w:sz w:val="32"/>
          <w:szCs w:val="32"/>
        </w:rPr>
        <w:t>（项）</w:t>
      </w:r>
      <w:r>
        <w:rPr>
          <w:rStyle w:val="15"/>
          <w:rFonts w:ascii="仿宋" w:hAnsi="仿宋" w:eastAsia="仿宋"/>
          <w:bCs/>
          <w:sz w:val="32"/>
          <w:szCs w:val="32"/>
        </w:rPr>
        <w:t>:</w:t>
      </w:r>
      <w:r>
        <w:rPr>
          <w:rStyle w:val="15"/>
          <w:rFonts w:hint="eastAsia" w:ascii="仿宋" w:hAnsi="仿宋" w:eastAsia="仿宋"/>
          <w:b w:val="0"/>
          <w:bCs/>
          <w:sz w:val="32"/>
          <w:szCs w:val="32"/>
        </w:rPr>
        <w:t>支出决算</w:t>
      </w:r>
      <w:r>
        <w:rPr>
          <w:rFonts w:hint="eastAsia" w:ascii="仿宋" w:hAnsi="仿宋" w:eastAsia="仿宋"/>
          <w:sz w:val="32"/>
          <w:szCs w:val="32"/>
        </w:rPr>
        <w:t>0万元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Style w:val="15"/>
          <w:rFonts w:ascii="仿宋" w:hAnsi="仿宋" w:eastAsia="仿宋"/>
          <w:b w:val="0"/>
          <w:bCs/>
          <w:sz w:val="32"/>
          <w:szCs w:val="32"/>
        </w:rPr>
      </w:pPr>
      <w:r>
        <w:rPr>
          <w:rFonts w:hint="eastAsia" w:ascii="仿宋" w:hAnsi="仿宋" w:eastAsia="仿宋"/>
          <w:b/>
          <w:sz w:val="32"/>
          <w:szCs w:val="32"/>
        </w:rPr>
        <w:t>6.住房保障221</w:t>
      </w:r>
      <w:r>
        <w:rPr>
          <w:rStyle w:val="15"/>
          <w:rFonts w:hint="eastAsia" w:ascii="仿宋" w:hAnsi="仿宋" w:eastAsia="仿宋"/>
          <w:b w:val="0"/>
          <w:bCs/>
          <w:sz w:val="32"/>
          <w:szCs w:val="32"/>
        </w:rPr>
        <w:t>（类）</w:t>
      </w:r>
      <w:r>
        <w:rPr>
          <w:rFonts w:hint="eastAsia" w:ascii="仿宋" w:hAnsi="仿宋" w:eastAsia="仿宋"/>
          <w:b/>
          <w:sz w:val="32"/>
          <w:szCs w:val="32"/>
        </w:rPr>
        <w:t>02</w:t>
      </w:r>
      <w:r>
        <w:rPr>
          <w:rStyle w:val="15"/>
          <w:rFonts w:hint="eastAsia" w:ascii="仿宋" w:hAnsi="仿宋" w:eastAsia="仿宋"/>
          <w:b w:val="0"/>
          <w:bCs/>
          <w:sz w:val="32"/>
          <w:szCs w:val="32"/>
        </w:rPr>
        <w:t>（款）</w:t>
      </w:r>
      <w:r>
        <w:rPr>
          <w:rFonts w:hint="eastAsia" w:ascii="仿宋" w:hAnsi="仿宋" w:eastAsia="仿宋"/>
          <w:b/>
          <w:sz w:val="32"/>
          <w:szCs w:val="32"/>
        </w:rPr>
        <w:t>01</w:t>
      </w:r>
      <w:r>
        <w:rPr>
          <w:rStyle w:val="15"/>
          <w:rFonts w:hint="eastAsia" w:ascii="仿宋" w:hAnsi="仿宋" w:eastAsia="仿宋"/>
          <w:b w:val="0"/>
          <w:bCs/>
          <w:sz w:val="32"/>
          <w:szCs w:val="32"/>
        </w:rPr>
        <w:t>（项）</w:t>
      </w:r>
      <w:r>
        <w:rPr>
          <w:rStyle w:val="15"/>
          <w:rFonts w:hint="eastAsia" w:ascii="仿宋" w:hAnsi="仿宋" w:eastAsia="仿宋"/>
          <w:bCs/>
          <w:sz w:val="32"/>
          <w:szCs w:val="32"/>
        </w:rPr>
        <w:t>:</w:t>
      </w:r>
      <w:r>
        <w:rPr>
          <w:rFonts w:hint="eastAsia" w:ascii="仿宋" w:hAnsi="仿宋" w:eastAsia="仿宋"/>
          <w:sz w:val="32"/>
          <w:szCs w:val="32"/>
        </w:rPr>
        <w:t>支出</w:t>
      </w:r>
      <w:r>
        <w:rPr>
          <w:rStyle w:val="15"/>
          <w:rFonts w:hint="eastAsia" w:ascii="仿宋" w:hAnsi="仿宋" w:eastAsia="仿宋"/>
          <w:b w:val="0"/>
          <w:bCs/>
          <w:sz w:val="32"/>
          <w:szCs w:val="32"/>
        </w:rPr>
        <w:t>决算</w:t>
      </w:r>
      <w:r>
        <w:rPr>
          <w:rFonts w:hint="eastAsia" w:ascii="仿宋" w:hAnsi="仿宋" w:eastAsia="仿宋"/>
          <w:sz w:val="32"/>
          <w:szCs w:val="32"/>
        </w:rPr>
        <w:t>85.44万元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7.其他229</w:t>
      </w:r>
      <w:r>
        <w:rPr>
          <w:rStyle w:val="15"/>
          <w:rFonts w:hint="eastAsia" w:ascii="仿宋" w:hAnsi="仿宋" w:eastAsia="仿宋"/>
          <w:b w:val="0"/>
          <w:bCs/>
          <w:sz w:val="32"/>
          <w:szCs w:val="32"/>
        </w:rPr>
        <w:t>（类）</w:t>
      </w:r>
      <w:r>
        <w:rPr>
          <w:rFonts w:hint="eastAsia" w:ascii="仿宋" w:hAnsi="仿宋" w:eastAsia="仿宋"/>
          <w:b/>
          <w:sz w:val="32"/>
          <w:szCs w:val="32"/>
        </w:rPr>
        <w:t>60</w:t>
      </w:r>
      <w:r>
        <w:rPr>
          <w:rStyle w:val="15"/>
          <w:rFonts w:hint="eastAsia" w:ascii="仿宋" w:hAnsi="仿宋" w:eastAsia="仿宋"/>
          <w:b w:val="0"/>
          <w:bCs/>
          <w:sz w:val="32"/>
          <w:szCs w:val="32"/>
        </w:rPr>
        <w:t>（款）</w:t>
      </w:r>
      <w:r>
        <w:rPr>
          <w:rFonts w:hint="eastAsia" w:ascii="仿宋" w:hAnsi="仿宋" w:eastAsia="仿宋"/>
          <w:b/>
          <w:sz w:val="32"/>
          <w:szCs w:val="32"/>
        </w:rPr>
        <w:t>99</w:t>
      </w:r>
      <w:r>
        <w:rPr>
          <w:rStyle w:val="15"/>
          <w:rFonts w:hint="eastAsia" w:ascii="仿宋" w:hAnsi="仿宋" w:eastAsia="仿宋"/>
          <w:b w:val="0"/>
          <w:bCs/>
          <w:sz w:val="32"/>
          <w:szCs w:val="32"/>
        </w:rPr>
        <w:t>（项）:</w:t>
      </w:r>
      <w:r>
        <w:rPr>
          <w:rFonts w:hint="eastAsia" w:ascii="仿宋" w:hAnsi="仿宋" w:eastAsia="仿宋"/>
          <w:sz w:val="32"/>
          <w:szCs w:val="32"/>
        </w:rPr>
        <w:t>支出</w:t>
      </w:r>
      <w:r>
        <w:rPr>
          <w:rStyle w:val="15"/>
          <w:rFonts w:hint="eastAsia" w:ascii="仿宋" w:hAnsi="仿宋" w:eastAsia="仿宋"/>
          <w:b w:val="0"/>
          <w:bCs/>
          <w:sz w:val="32"/>
          <w:szCs w:val="32"/>
        </w:rPr>
        <w:t>决算</w:t>
      </w:r>
      <w:r>
        <w:rPr>
          <w:rFonts w:hint="eastAsia" w:ascii="仿宋" w:hAnsi="仿宋" w:eastAsia="仿宋"/>
          <w:sz w:val="32"/>
          <w:szCs w:val="32"/>
        </w:rPr>
        <w:t>0万元,</w:t>
      </w:r>
      <w:r>
        <w:rPr>
          <w:rStyle w:val="15"/>
          <w:rFonts w:hint="eastAsia" w:ascii="仿宋" w:hAnsi="仿宋" w:eastAsia="仿宋"/>
          <w:b w:val="0"/>
          <w:bCs/>
          <w:sz w:val="32"/>
          <w:szCs w:val="32"/>
        </w:rPr>
        <w:t xml:space="preserve"> 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tabs>
          <w:tab w:val="right" w:pos="8306"/>
        </w:tabs>
        <w:spacing w:line="600" w:lineRule="exact"/>
        <w:ind w:firstLine="640"/>
        <w:outlineLvl w:val="1"/>
        <w:rPr>
          <w:rStyle w:val="26"/>
        </w:rPr>
      </w:pPr>
      <w:bookmarkStart w:id="35" w:name="_Toc15396608"/>
      <w:bookmarkStart w:id="36"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5"/>
      <w:bookmarkEnd w:id="36"/>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8年一般公共预算财政拨款基本支出1775.4万元，其中：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1420.02万元，主要包括：基本工资、津贴补贴、绩效工资、机关事业单位基本养老保险费、职业年金缴费、职工基本医疗保险缴费、其他社会保障缴费、住房公积金、其他工资福利支出、抚恤金、生活补助、医疗费补助、助学金、奖励金、其他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355.38万元，主要包括：办公费、咨询费、水费、电费、邮电费、物业管理费、差旅费、维修（护）费、会议费、培训费、专用材料费、劳务费、工会经费、其他交通费用、其他商品和服务支出、办公设备购置等。</w:t>
      </w:r>
    </w:p>
    <w:p>
      <w:pPr>
        <w:spacing w:line="600" w:lineRule="exact"/>
        <w:ind w:firstLine="640"/>
        <w:outlineLvl w:val="1"/>
        <w:rPr>
          <w:rStyle w:val="26"/>
          <w:rFonts w:ascii="黑体" w:hAnsi="黑体" w:eastAsia="黑体"/>
          <w:b w:val="0"/>
        </w:rPr>
      </w:pPr>
      <w:bookmarkStart w:id="37" w:name="_Toc15396609"/>
      <w:bookmarkStart w:id="38"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7"/>
      <w:bookmarkEnd w:id="38"/>
    </w:p>
    <w:p>
      <w:pPr>
        <w:spacing w:line="600" w:lineRule="exact"/>
        <w:ind w:firstLine="640"/>
        <w:outlineLvl w:val="2"/>
        <w:rPr>
          <w:rFonts w:ascii="仿宋" w:hAnsi="仿宋" w:eastAsia="仿宋"/>
          <w:b/>
          <w:sz w:val="32"/>
          <w:szCs w:val="32"/>
        </w:rPr>
      </w:pPr>
      <w:bookmarkStart w:id="39" w:name="_Toc15377216"/>
      <w:r>
        <w:rPr>
          <w:rFonts w:hint="eastAsia" w:ascii="仿宋" w:hAnsi="仿宋" w:eastAsia="仿宋"/>
          <w:b/>
          <w:sz w:val="32"/>
          <w:szCs w:val="32"/>
        </w:rPr>
        <w:t>（一）“三公”经费财政拨款支出决算总体情况说明</w:t>
      </w:r>
      <w:bookmarkEnd w:id="39"/>
    </w:p>
    <w:p>
      <w:pPr>
        <w:spacing w:line="600" w:lineRule="exact"/>
        <w:ind w:firstLine="640"/>
        <w:rPr>
          <w:rFonts w:ascii="仿宋" w:hAnsi="仿宋" w:eastAsia="仿宋"/>
          <w:b/>
          <w:sz w:val="32"/>
          <w:szCs w:val="32"/>
        </w:rPr>
      </w:pPr>
      <w:r>
        <w:rPr>
          <w:rFonts w:ascii="仿宋" w:hAnsi="仿宋" w:eastAsia="仿宋"/>
          <w:sz w:val="32"/>
          <w:szCs w:val="32"/>
        </w:rPr>
        <w:t>201</w:t>
      </w:r>
      <w:r>
        <w:rPr>
          <w:rFonts w:hint="eastAsia" w:ascii="仿宋" w:hAnsi="仿宋" w:eastAsia="仿宋"/>
          <w:sz w:val="32"/>
          <w:szCs w:val="32"/>
        </w:rPr>
        <w:t>8年“三公”经费财政拨款支出决算为0万元，完成预算100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0" w:name="_Toc15377217"/>
      <w:r>
        <w:rPr>
          <w:rFonts w:hint="eastAsia" w:ascii="仿宋" w:hAnsi="仿宋" w:eastAsia="仿宋"/>
          <w:b/>
          <w:sz w:val="32"/>
          <w:szCs w:val="32"/>
        </w:rPr>
        <w:t>（二）“三公”经费财政拨款支出决算具体情况说明</w:t>
      </w:r>
      <w:bookmarkEnd w:id="40"/>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8年“三公”经费财政拨款支出决算中，因公出国（境）费支出决算0万元；公务用车购置及运行维护费支出决算0万元；公务接待费支出决算0万元。具体情况如下：</w:t>
      </w:r>
    </w:p>
    <w:p>
      <w:pPr>
        <w:ind w:firstLine="640"/>
        <w:rPr>
          <w:rFonts w:ascii="仿宋" w:hAnsi="仿宋" w:eastAsia="仿宋"/>
          <w:sz w:val="32"/>
          <w:szCs w:val="32"/>
        </w:rPr>
      </w:pPr>
      <w:r>
        <w:rPr>
          <w:rFonts w:hint="eastAsia" w:ascii="仿宋" w:hAnsi="仿宋" w:eastAsia="仿宋"/>
          <w:sz w:val="32"/>
          <w:szCs w:val="32"/>
        </w:rPr>
        <w:t>（图7：“三公”经费财政拨款支出结构）（饼状图）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67325" cy="33909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67325" cy="3390900"/>
                          </a:xfrm>
                          <a:prstGeom prst="rect">
                            <a:avLst/>
                          </a:prstGeom>
                          <a:noFill/>
                          <a:ln>
                            <a:noFill/>
                          </a:ln>
                        </pic:spPr>
                      </pic:pic>
                    </a:graphicData>
                  </a:graphic>
                </wp:inline>
              </w:drawing>
            </w:r>
          </w:p>
        </w:tc>
      </w:tr>
    </w:tbl>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主要用于执行公务、开展业务活动开支的交通费、住宿费、用餐费等。国内公务接待0批次，0人次（不包括陪同人员），共计支出</w:t>
      </w:r>
      <w:r>
        <w:rPr>
          <w:rFonts w:hint="eastAsia" w:ascii="仿宋" w:hAnsi="仿宋" w:eastAsia="仿宋"/>
          <w:sz w:val="32"/>
          <w:szCs w:val="32"/>
        </w:rPr>
        <w:t>0</w:t>
      </w:r>
      <w:r>
        <w:rPr>
          <w:rFonts w:hint="eastAsia" w:ascii="仿宋_GB2312" w:eastAsia="仿宋_GB2312"/>
          <w:sz w:val="32"/>
          <w:szCs w:val="32"/>
        </w:rPr>
        <w:t>万元。</w:t>
      </w:r>
    </w:p>
    <w:p>
      <w:pPr>
        <w:spacing w:line="600" w:lineRule="exact"/>
        <w:ind w:firstLine="640"/>
        <w:outlineLvl w:val="1"/>
        <w:rPr>
          <w:rStyle w:val="26"/>
          <w:rFonts w:ascii="黑体" w:hAnsi="黑体" w:eastAsia="黑体"/>
        </w:rPr>
      </w:pPr>
      <w:bookmarkStart w:id="41" w:name="_Toc15377218"/>
      <w:bookmarkStart w:id="42" w:name="_Toc15396610"/>
      <w:r>
        <w:rPr>
          <w:rFonts w:hint="eastAsia" w:ascii="黑体" w:eastAsia="黑体"/>
          <w:sz w:val="32"/>
          <w:szCs w:val="32"/>
        </w:rPr>
        <w:t>八、</w:t>
      </w:r>
      <w:r>
        <w:rPr>
          <w:rStyle w:val="26"/>
          <w:rFonts w:hint="eastAsia" w:ascii="黑体" w:hAnsi="黑体" w:eastAsia="黑体"/>
          <w:b w:val="0"/>
        </w:rPr>
        <w:t>政府性基金预算支出决算情况说明</w:t>
      </w:r>
      <w:bookmarkEnd w:id="41"/>
      <w:bookmarkEnd w:id="42"/>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8年政府性基金预算拨款支出</w:t>
      </w:r>
      <w:r>
        <w:rPr>
          <w:rFonts w:hint="eastAsia" w:ascii="仿宋" w:hAnsi="仿宋" w:eastAsia="仿宋"/>
          <w:sz w:val="32"/>
          <w:szCs w:val="32"/>
        </w:rPr>
        <w:t>32.31</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3" w:name="_Toc15377219"/>
      <w:bookmarkStart w:id="44" w:name="_Toc15396611"/>
      <w:r>
        <w:rPr>
          <w:rStyle w:val="26"/>
          <w:rFonts w:hint="eastAsia" w:ascii="黑体" w:hAnsi="黑体" w:eastAsia="黑体"/>
          <w:b w:val="0"/>
        </w:rPr>
        <w:t>国有资本经营预算支出决算情况说明</w:t>
      </w:r>
      <w:bookmarkEnd w:id="43"/>
      <w:bookmarkEnd w:id="44"/>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校在年初预算编制阶段，组织对民生工程、民生工程以外人员经费、办公经费项目开展了预算事前绩效评估，对民生工程、民生工程以外人员经费、办公经费项目编制了绩效目标，预算执行过程中，选取民生工程以外人员经费项目开展绩效监控，年终执行完毕后，对民生工程以外人员经费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完成了年度主要任务，严格控制经费合理正确使用。本部门还自行组织了民生工程以外人员经费项目绩效评价，从评价情况来看圆满完成了该项目的预算目标，数量指标、质量指标、时效指标、满意度指标均达100%。</w:t>
      </w:r>
    </w:p>
    <w:p>
      <w:pPr>
        <w:numPr>
          <w:ilvl w:val="0"/>
          <w:numId w:val="4"/>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本部门在2018年度部门决算中反映“民生工程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民生工程以外人员经费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“办公经费”等3个项目绩效目标实际完成情况。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民生工程项目绩效目标完成情况综述。项目全年预算数</w:t>
      </w:r>
      <w:r>
        <w:rPr>
          <w:rFonts w:hint="eastAsia" w:ascii="仿宋" w:hAnsi="仿宋" w:eastAsia="仿宋"/>
          <w:sz w:val="32"/>
          <w:szCs w:val="32"/>
        </w:rPr>
        <w:t>141.64</w:t>
      </w:r>
      <w:r>
        <w:rPr>
          <w:rFonts w:hint="eastAsia" w:ascii="仿宋_GB2312" w:hAnsi="仿宋_GB2312" w:eastAsia="仿宋_GB2312" w:cs="仿宋_GB2312"/>
          <w:sz w:val="32"/>
          <w:szCs w:val="32"/>
        </w:rPr>
        <w:t>万元，执行数为</w:t>
      </w:r>
      <w:r>
        <w:rPr>
          <w:rFonts w:hint="eastAsia" w:ascii="仿宋" w:hAnsi="仿宋" w:eastAsia="仿宋"/>
          <w:sz w:val="32"/>
          <w:szCs w:val="32"/>
        </w:rPr>
        <w:t>141.64</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了全体学生健康成长，家庭贫困学生顺利入学。发现的主要问题：学生在享受资助上卡时，提供卡号信息有误，导致不能及时得到资助。下一步改进措施：打卡前充分核对卡号，确保准确无误。</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民生工程以外人员经费项目绩效目标完成情况综述。项目全年预算数</w:t>
      </w:r>
      <w:r>
        <w:rPr>
          <w:rFonts w:hint="eastAsia" w:ascii="仿宋" w:hAnsi="仿宋" w:eastAsia="仿宋"/>
          <w:sz w:val="32"/>
          <w:szCs w:val="32"/>
        </w:rPr>
        <w:t>1278.38</w:t>
      </w:r>
      <w:r>
        <w:rPr>
          <w:rFonts w:hint="eastAsia" w:ascii="仿宋_GB2312" w:hAnsi="仿宋_GB2312" w:eastAsia="仿宋_GB2312" w:cs="仿宋_GB2312"/>
          <w:sz w:val="32"/>
          <w:szCs w:val="32"/>
        </w:rPr>
        <w:t>万元，执行数为</w:t>
      </w:r>
      <w:r>
        <w:rPr>
          <w:rFonts w:hint="eastAsia" w:ascii="仿宋" w:hAnsi="仿宋" w:eastAsia="仿宋"/>
          <w:sz w:val="32"/>
          <w:szCs w:val="32"/>
        </w:rPr>
        <w:t>1278.38</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%。通过项目实施，保障了教职工的各项合法权益，调动了全体教职工的工作积极性。发现的主要问题：无。</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办公经费项目绩效目标完成情况综述。项目全年预算数</w:t>
      </w:r>
      <w:r>
        <w:rPr>
          <w:rFonts w:hint="eastAsia" w:ascii="仿宋" w:hAnsi="仿宋" w:eastAsia="仿宋"/>
          <w:sz w:val="32"/>
          <w:szCs w:val="32"/>
        </w:rPr>
        <w:t>355.38</w:t>
      </w:r>
      <w:r>
        <w:rPr>
          <w:rFonts w:hint="eastAsia" w:ascii="仿宋_GB2312" w:hAnsi="仿宋_GB2312" w:eastAsia="仿宋_GB2312" w:cs="仿宋_GB2312"/>
          <w:sz w:val="32"/>
          <w:szCs w:val="32"/>
        </w:rPr>
        <w:t>万元，执行数为</w:t>
      </w:r>
      <w:r>
        <w:rPr>
          <w:rFonts w:hint="eastAsia" w:ascii="仿宋" w:hAnsi="仿宋" w:eastAsia="仿宋"/>
          <w:sz w:val="32"/>
          <w:szCs w:val="32"/>
        </w:rPr>
        <w:t>355.38</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%。通过项目实施，保障学校正常开展的各项活动，发现的主要问题：无。</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达川区赵家镇中心学校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141.64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141.64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141.64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141.64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足额发放免作业本费、免保教费、学生营养餐、贫困住校生补助、食堂购买服务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学生家庭享受资助情况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spacing w:line="580" w:lineRule="exact"/>
        <w:ind w:left="640"/>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民生工程以外人员经费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达川区赵家镇中心学校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1278.38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1278.38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1278.38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1278.38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足额发放在职教师工资、购买养老保险、职业年金、医保、工伤、住房公积金、工会经费及临聘人员的工资补助</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人员经费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享受补助情况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全部及时得到补助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全部及时得到补助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w:t>
            </w:r>
          </w:p>
        </w:tc>
      </w:tr>
    </w:tbl>
    <w:p>
      <w:pPr>
        <w:spacing w:line="580" w:lineRule="exact"/>
        <w:ind w:left="640"/>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达川区赵家镇中心学校</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355.38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355.38</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355.38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355.38</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足额补助学校的办公经费包括办公费、电费、邮电费、差旅费、培训费、维修（护）费、公务接待费、专用材料费及其他商服务支出等办公经费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按既定目标全额补助</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应补尽补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应补尽补</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享受补助情况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及时得到补助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及时得到补助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spacing w:line="580" w:lineRule="exact"/>
        <w:ind w:left="640"/>
        <w:rPr>
          <w:rFonts w:ascii="仿宋" w:hAnsi="仿宋" w:eastAsia="仿宋" w:cs="仿宋_GB2312"/>
          <w:sz w:val="32"/>
          <w:szCs w:val="32"/>
        </w:rPr>
      </w:pPr>
    </w:p>
    <w:p>
      <w:pPr>
        <w:numPr>
          <w:ilvl w:val="0"/>
          <w:numId w:val="4"/>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本部门按要求对2018年部门整体支出绩效评价情况开展自评，《达川区赵家镇中心学校部门2018年部门整体支出绩效评价报告》见附件。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本部门自行组织对人员经费项目开展了绩效评价，《达川区赵家镇中心学校项目2018年绩效评价报告》见附件。</w:t>
      </w:r>
    </w:p>
    <w:p>
      <w:pPr>
        <w:spacing w:line="600" w:lineRule="exact"/>
        <w:ind w:firstLine="800" w:firstLineChars="250"/>
        <w:outlineLvl w:val="1"/>
        <w:rPr>
          <w:rStyle w:val="26"/>
          <w:rFonts w:ascii="黑体" w:hAnsi="黑体" w:eastAsia="黑体"/>
        </w:rPr>
      </w:pPr>
      <w:bookmarkStart w:id="45" w:name="_Toc15396612"/>
      <w:bookmarkStart w:id="46" w:name="_Toc15377221"/>
      <w:r>
        <w:rPr>
          <w:rFonts w:hint="eastAsia" w:ascii="黑体" w:hAnsi="黑体" w:eastAsia="黑体"/>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45"/>
      <w:bookmarkEnd w:id="46"/>
    </w:p>
    <w:p>
      <w:pPr>
        <w:spacing w:line="600" w:lineRule="exact"/>
        <w:ind w:firstLine="643" w:firstLineChars="200"/>
        <w:outlineLvl w:val="2"/>
        <w:rPr>
          <w:rFonts w:ascii="仿宋" w:hAnsi="仿宋" w:eastAsia="仿宋"/>
          <w:sz w:val="32"/>
          <w:szCs w:val="32"/>
        </w:rPr>
      </w:pPr>
      <w:bookmarkStart w:id="47" w:name="_Toc15377222"/>
      <w:r>
        <w:rPr>
          <w:rFonts w:hint="eastAsia" w:ascii="仿宋" w:hAnsi="仿宋" w:eastAsia="仿宋"/>
          <w:b/>
          <w:sz w:val="32"/>
          <w:szCs w:val="32"/>
        </w:rPr>
        <w:t>（一）机关运行经费支出情况</w:t>
      </w:r>
      <w:bookmarkEnd w:id="47"/>
    </w:p>
    <w:p>
      <w:pPr>
        <w:autoSpaceDE w:val="0"/>
        <w:autoSpaceDN w:val="0"/>
        <w:adjustRightInd w:val="0"/>
        <w:spacing w:line="600" w:lineRule="exact"/>
        <w:ind w:firstLine="640" w:firstLineChars="200"/>
        <w:jc w:val="left"/>
        <w:outlineLvl w:val="2"/>
        <w:rPr>
          <w:rFonts w:hint="eastAsia" w:ascii="仿宋_GB2312" w:eastAsia="仿宋_GB2312"/>
          <w:sz w:val="32"/>
          <w:szCs w:val="32"/>
          <w:lang w:val="en-US" w:eastAsia="zh-CN"/>
        </w:rPr>
      </w:pPr>
      <w:bookmarkStart w:id="48" w:name="_Toc15377223"/>
      <w:r>
        <w:rPr>
          <w:rFonts w:hint="eastAsia" w:ascii="仿宋_GB2312" w:eastAsia="仿宋_GB2312"/>
          <w:sz w:val="32"/>
          <w:szCs w:val="32"/>
          <w:lang w:val="en-US" w:eastAsia="zh-CN"/>
        </w:rPr>
        <w:t>本单位为事业单位，无机关运行经费支出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1" w:name="_GoBack"/>
      <w:bookmarkEnd w:id="71"/>
      <w:r>
        <w:rPr>
          <w:rFonts w:hint="eastAsia" w:ascii="仿宋" w:hAnsi="仿宋" w:eastAsia="仿宋"/>
          <w:b/>
          <w:sz w:val="32"/>
          <w:szCs w:val="32"/>
        </w:rPr>
        <w:t>（二）政府采购支出情况</w:t>
      </w:r>
      <w:bookmarkEnd w:id="48"/>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9" w:name="_Toc15377224"/>
      <w:r>
        <w:rPr>
          <w:rFonts w:hint="eastAsia" w:ascii="仿宋" w:hAnsi="仿宋" w:eastAsia="仿宋"/>
          <w:b/>
          <w:sz w:val="32"/>
          <w:szCs w:val="32"/>
        </w:rPr>
        <w:t>（三）国有资产占有使用情况</w:t>
      </w:r>
      <w:bookmarkEnd w:id="49"/>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spacing w:line="600" w:lineRule="atLeast"/>
        <w:ind w:firstLine="643" w:firstLineChars="200"/>
        <w:rPr>
          <w:rFonts w:ascii="仿宋_GB2312" w:eastAsia="仿宋_GB2312"/>
          <w:b/>
          <w:sz w:val="32"/>
          <w:szCs w:val="32"/>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6"/>
        </w:numPr>
        <w:spacing w:line="600" w:lineRule="exact"/>
        <w:ind w:firstLine="663" w:firstLineChars="150"/>
        <w:jc w:val="center"/>
        <w:outlineLvl w:val="0"/>
        <w:rPr>
          <w:rStyle w:val="25"/>
          <w:rFonts w:ascii="黑体" w:hAnsi="黑体" w:eastAsia="黑体"/>
          <w:b w:val="0"/>
        </w:rPr>
      </w:pPr>
      <w:bookmarkStart w:id="50" w:name="_Toc15396613"/>
      <w:bookmarkStart w:id="51" w:name="_Toc15377225"/>
      <w:r>
        <w:rPr>
          <w:rFonts w:hint="eastAsia" w:ascii="黑体" w:hAnsi="黑体" w:eastAsia="黑体"/>
          <w:b/>
          <w:sz w:val="44"/>
          <w:szCs w:val="44"/>
        </w:rPr>
        <w:t>名</w:t>
      </w:r>
      <w:r>
        <w:rPr>
          <w:rStyle w:val="25"/>
          <w:rFonts w:hint="eastAsia" w:ascii="黑体" w:hAnsi="黑体" w:eastAsia="黑体"/>
          <w:b w:val="0"/>
        </w:rPr>
        <w:t>词解释</w:t>
      </w:r>
      <w:bookmarkEnd w:id="50"/>
      <w:bookmarkEnd w:id="51"/>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事业收入：指事业单位开展专业业务活动及辅助活动取得的收入。学校保教费收入等。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 xml:space="preserve">一般公共服务 </w:t>
      </w:r>
      <w:r>
        <w:rPr>
          <w:rFonts w:hint="eastAsia" w:ascii="仿宋_GB2312" w:hAnsi="Times New Roman" w:eastAsia="仿宋_GB2312" w:cs="Times New Roman"/>
          <w:color w:val="auto"/>
          <w:kern w:val="2"/>
          <w:sz w:val="32"/>
          <w:szCs w:val="32"/>
        </w:rPr>
        <w:t>2011099</w:t>
      </w:r>
      <w:r>
        <w:rPr>
          <w:rFonts w:hint="eastAsia" w:ascii="仿宋_GB2312" w:eastAsia="仿宋_GB2312"/>
          <w:color w:val="auto"/>
          <w:sz w:val="32"/>
          <w:szCs w:val="32"/>
        </w:rPr>
        <w:t>：</w:t>
      </w:r>
      <w:r>
        <w:rPr>
          <w:rFonts w:hint="eastAsia" w:hAnsi="仿宋"/>
          <w:color w:val="auto"/>
          <w:sz w:val="32"/>
          <w:szCs w:val="32"/>
        </w:rPr>
        <w:t>指学校聘用三支一扶人员的一次性补贴支出。</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教育2050201：指学校举办的学前教育支出。2050202：指学校举办的小前教育支出。2050203：指学校举办的初中教育支出。</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 xml:space="preserve">社会保障和就业 </w:t>
      </w:r>
      <w:r>
        <w:rPr>
          <w:rFonts w:ascii="仿宋_GB2312" w:eastAsia="仿宋_GB2312"/>
          <w:color w:val="auto"/>
          <w:sz w:val="32"/>
          <w:szCs w:val="32"/>
        </w:rPr>
        <w:t>2080505</w:t>
      </w:r>
      <w:r>
        <w:rPr>
          <w:rFonts w:hint="eastAsia" w:ascii="仿宋_GB2312" w:eastAsia="仿宋_GB2312"/>
          <w:color w:val="auto"/>
          <w:sz w:val="32"/>
          <w:szCs w:val="32"/>
        </w:rPr>
        <w:t>：</w:t>
      </w:r>
      <w:r>
        <w:rPr>
          <w:rFonts w:hint="eastAsia" w:hAnsi="仿宋"/>
          <w:color w:val="auto"/>
          <w:sz w:val="32"/>
          <w:szCs w:val="32"/>
        </w:rPr>
        <w:t>指学校在社会保障与就业方面的支出。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医疗卫生与计划生育 </w:t>
      </w:r>
      <w:r>
        <w:rPr>
          <w:rFonts w:ascii="仿宋_GB2312" w:eastAsia="仿宋_GB2312"/>
          <w:sz w:val="32"/>
          <w:szCs w:val="32"/>
        </w:rPr>
        <w:t>2100502</w:t>
      </w:r>
      <w:r>
        <w:rPr>
          <w:rFonts w:hint="eastAsia" w:ascii="仿宋_GB2312" w:eastAsia="仿宋_GB2312"/>
          <w:sz w:val="32"/>
          <w:szCs w:val="32"/>
        </w:rPr>
        <w:t>：指学校用于教职工医疗保险方面的支出。</w:t>
      </w:r>
    </w:p>
    <w:p>
      <w:pPr>
        <w:pStyle w:val="23"/>
        <w:spacing w:line="560" w:lineRule="exact"/>
        <w:ind w:firstLine="640" w:firstLineChars="200"/>
        <w:rPr>
          <w:rFonts w:hAnsi="仿宋"/>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住房保障2210201：指</w:t>
      </w:r>
      <w:r>
        <w:rPr>
          <w:rFonts w:hint="eastAsia" w:hAnsi="仿宋"/>
          <w:color w:val="auto"/>
          <w:sz w:val="32"/>
          <w:szCs w:val="32"/>
        </w:rPr>
        <w:t>学校用于住房方面的支出。学校按人力资源和社会保障部、财政部规定的基本工资和津贴补贴以及规定比例为职工缴纳的住房公积金。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ascii="黑体" w:hAnsi="黑体" w:eastAsia="黑体"/>
          <w:b w:val="0"/>
        </w:rPr>
      </w:pPr>
      <w:bookmarkStart w:id="52" w:name="_Toc15377226"/>
      <w:r>
        <w:rPr>
          <w:rFonts w:ascii="宋体"/>
          <w:b/>
          <w:sz w:val="44"/>
          <w:szCs w:val="44"/>
        </w:rPr>
        <w:br w:type="page"/>
      </w:r>
      <w:bookmarkStart w:id="53" w:name="_Toc15396614"/>
      <w:r>
        <w:rPr>
          <w:rFonts w:hint="eastAsia" w:ascii="黑体" w:hAnsi="黑体" w:eastAsia="黑体"/>
          <w:sz w:val="44"/>
          <w:szCs w:val="44"/>
        </w:rPr>
        <w:t>第</w:t>
      </w:r>
      <w:r>
        <w:rPr>
          <w:rStyle w:val="25"/>
          <w:rFonts w:hint="eastAsia" w:ascii="黑体" w:hAnsi="黑体" w:eastAsia="黑体"/>
          <w:b w:val="0"/>
        </w:rPr>
        <w:t>四部分 附件</w:t>
      </w:r>
      <w:bookmarkEnd w:id="53"/>
    </w:p>
    <w:p>
      <w:pPr>
        <w:spacing w:line="600" w:lineRule="exact"/>
        <w:jc w:val="center"/>
        <w:outlineLvl w:val="0"/>
        <w:rPr>
          <w:rStyle w:val="25"/>
        </w:rPr>
      </w:pPr>
    </w:p>
    <w:p>
      <w:pPr>
        <w:pStyle w:val="3"/>
        <w:rPr>
          <w:rStyle w:val="25"/>
          <w:rFonts w:ascii="仿宋" w:hAnsi="仿宋" w:eastAsia="仿宋"/>
          <w:b w:val="0"/>
          <w:bCs w:val="0"/>
          <w:sz w:val="32"/>
          <w:szCs w:val="32"/>
        </w:rPr>
      </w:pPr>
      <w:bookmarkStart w:id="54" w:name="_Toc15396615"/>
      <w:r>
        <w:rPr>
          <w:rStyle w:val="25"/>
          <w:rFonts w:hint="eastAsia" w:ascii="仿宋" w:hAnsi="仿宋" w:eastAsia="仿宋"/>
          <w:b w:val="0"/>
          <w:bCs w:val="0"/>
          <w:sz w:val="32"/>
          <w:szCs w:val="32"/>
        </w:rPr>
        <w:t>附件1</w:t>
      </w:r>
      <w:bookmarkEnd w:id="54"/>
    </w:p>
    <w:p>
      <w:pPr>
        <w:spacing w:line="600" w:lineRule="exact"/>
        <w:jc w:val="center"/>
        <w:outlineLvl w:val="0"/>
        <w:rPr>
          <w:rFonts w:ascii="黑体" w:hAnsi="黑体" w:eastAsia="黑体" w:cs="方正小标宋简体"/>
          <w:sz w:val="36"/>
          <w:szCs w:val="36"/>
        </w:rPr>
      </w:pPr>
      <w:bookmarkStart w:id="55" w:name="_Toc15396616"/>
      <w:r>
        <w:rPr>
          <w:rFonts w:hint="eastAsia" w:ascii="黑体" w:hAnsi="黑体" w:eastAsia="黑体" w:cs="方正小标宋简体"/>
          <w:sz w:val="36"/>
          <w:szCs w:val="36"/>
        </w:rPr>
        <w:t xml:space="preserve">达川区赵家镇中心学校 </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55"/>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达川区赵家镇中心学校是一所九年一贯制学校，单位性质为：全额拨款事业单位，设立5个内设部门：教务处、政教处、安全办公室、党建办公室、后勤处。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2018年我校在职教职工122人，临聘人员8人。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sz w:val="32"/>
          <w:szCs w:val="32"/>
        </w:rPr>
        <w:t>201</w:t>
      </w:r>
      <w:r>
        <w:rPr>
          <w:rFonts w:hint="eastAsia" w:ascii="仿宋" w:hAnsi="仿宋" w:eastAsia="仿宋"/>
          <w:sz w:val="32"/>
          <w:szCs w:val="32"/>
        </w:rPr>
        <w:t>8年本年收入合计2552.44万元，其中：一般公共预算财政拨款收入2512.4万元，占98.43%；政府性基金预算财政拨款收入32.31万元，占1.27%；国有资本经营预算财政拨款收入0万元，占0%；事业收入7.73万元，占0.3%；经营收入0万元，占0%；附属单位上缴收入0万元，占0%；其他收入0万元，占0%。</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8年本年支出合计1815.44万元，其中：基本支出1783.13万元，占98.22%；项目支出32.31万元，占1.78%；上缴上级支出0万元，占0%；经营支出0万元，占0%；对附属单位补助支出0万元，占0%。</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制定了切实有效的绩效预算目标并严格按照既定目标实施，执行总体较为有效、效果良好。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专项预算项目程序严密、规划合理、结果符合、分配科学、分配及时、专项预算绩效目标完成</w:t>
      </w:r>
      <w:r>
        <w:rPr>
          <w:rFonts w:hint="eastAsia" w:ascii="仿宋" w:hAnsi="仿宋" w:eastAsia="仿宋" w:cs="仿宋_GB2312"/>
          <w:sz w:val="32"/>
          <w:szCs w:val="32"/>
        </w:rPr>
        <w:t>情况良好</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部门自评质量</w:t>
      </w:r>
      <w:r>
        <w:rPr>
          <w:rFonts w:hint="eastAsia" w:ascii="仿宋" w:hAnsi="仿宋" w:eastAsia="仿宋" w:cs="仿宋_GB2312"/>
          <w:sz w:val="32"/>
          <w:szCs w:val="32"/>
        </w:rPr>
        <w:t>较好</w:t>
      </w:r>
      <w:r>
        <w:rPr>
          <w:rFonts w:ascii="仿宋" w:hAnsi="仿宋" w:eastAsia="仿宋" w:cs="仿宋_GB2312"/>
          <w:sz w:val="32"/>
          <w:szCs w:val="32"/>
        </w:rPr>
        <w:t>、</w:t>
      </w:r>
      <w:r>
        <w:rPr>
          <w:rFonts w:hint="eastAsia" w:ascii="仿宋" w:hAnsi="仿宋" w:eastAsia="仿宋" w:cs="仿宋_GB2312"/>
          <w:sz w:val="32"/>
          <w:szCs w:val="32"/>
        </w:rPr>
        <w:t>做到</w:t>
      </w:r>
      <w:r>
        <w:rPr>
          <w:rFonts w:ascii="仿宋" w:hAnsi="仿宋" w:eastAsia="仿宋" w:cs="仿宋_GB2312"/>
          <w:sz w:val="32"/>
          <w:szCs w:val="32"/>
        </w:rPr>
        <w:t>绩效目标公开和自评公开</w:t>
      </w:r>
      <w:r>
        <w:rPr>
          <w:rFonts w:hint="eastAsia" w:ascii="仿宋" w:hAnsi="仿宋" w:eastAsia="仿宋" w:cs="仿宋_GB2312"/>
          <w:sz w:val="32"/>
          <w:szCs w:val="32"/>
        </w:rPr>
        <w:t>同时做好</w:t>
      </w:r>
      <w:r>
        <w:rPr>
          <w:rFonts w:ascii="仿宋" w:hAnsi="仿宋" w:eastAsia="仿宋" w:cs="仿宋_GB2312"/>
          <w:sz w:val="32"/>
          <w:szCs w:val="32"/>
        </w:rPr>
        <w:t>评价结果整改和应用结果反馈</w:t>
      </w:r>
      <w:r>
        <w:rPr>
          <w:rFonts w:hint="eastAsia" w:ascii="仿宋" w:hAnsi="仿宋" w:eastAsia="仿宋" w:cs="仿宋_GB2312"/>
          <w:sz w:val="32"/>
          <w:szCs w:val="32"/>
        </w:rPr>
        <w:t>工作</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我校部门整体支出绩效评价结论为：良好。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预算财务分析工作须常态化，</w:t>
      </w:r>
      <w:r>
        <w:rPr>
          <w:rFonts w:hint="eastAsia" w:ascii="仿宋" w:hAnsi="仿宋" w:eastAsia="仿宋" w:cs="仿宋_GB2312"/>
          <w:sz w:val="32"/>
          <w:szCs w:val="32"/>
        </w:rPr>
        <w:t>预算编制有待更严格执行。预算编制与实际支出项目有的存在差异。</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预算财务分析工作常态化，定期做好预算支出财务分析，做好部门整体支出预算评价工作。</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val="0"/>
          <w:bCs w:val="0"/>
          <w:sz w:val="32"/>
          <w:szCs w:val="32"/>
        </w:rPr>
      </w:pPr>
      <w:bookmarkStart w:id="56" w:name="_Toc15396617"/>
      <w:r>
        <w:rPr>
          <w:rStyle w:val="25"/>
          <w:rFonts w:hint="eastAsia" w:ascii="仿宋" w:hAnsi="仿宋" w:eastAsia="仿宋"/>
          <w:b w:val="0"/>
          <w:bCs w:val="0"/>
          <w:sz w:val="32"/>
          <w:szCs w:val="32"/>
        </w:rPr>
        <w:t>附件2</w:t>
      </w:r>
      <w:bookmarkEnd w:id="56"/>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达川区赵家镇中心学校</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2018年民生工程以外人员经费项目支出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学校经费的大头是</w:t>
      </w:r>
      <w:r>
        <w:rPr>
          <w:rFonts w:hint="eastAsia" w:ascii="仿宋_GB2312" w:hAnsi="仿宋_GB2312" w:eastAsia="仿宋_GB2312" w:cs="仿宋_GB2312"/>
          <w:sz w:val="32"/>
          <w:szCs w:val="32"/>
        </w:rPr>
        <w:t>民生工程以外</w:t>
      </w:r>
      <w:r>
        <w:rPr>
          <w:rFonts w:hint="eastAsia" w:ascii="仿宋" w:hAnsi="仿宋" w:eastAsia="仿宋" w:cs="仿宋_GB2312"/>
          <w:sz w:val="32"/>
          <w:szCs w:val="32"/>
        </w:rPr>
        <w:t>人员经费，涉及全体教职员工的权益和福利，因此学校把这项费用纳入项目支出绩效评价。</w:t>
      </w:r>
      <w:r>
        <w:rPr>
          <w:rFonts w:ascii="仿宋" w:hAnsi="仿宋" w:eastAsia="仿宋" w:cs="仿宋_GB2312"/>
          <w:sz w:val="32"/>
          <w:szCs w:val="32"/>
        </w:rPr>
        <w:t>绩效目标设置</w:t>
      </w:r>
      <w:r>
        <w:rPr>
          <w:rFonts w:hint="eastAsia" w:ascii="仿宋" w:hAnsi="仿宋" w:eastAsia="仿宋" w:cs="仿宋_GB2312"/>
          <w:sz w:val="32"/>
          <w:szCs w:val="32"/>
        </w:rPr>
        <w:t>为是否足额发放在职教师工资、购买养老保险、职业年金、医保、工伤、住房公积金、工会经费及临聘人员的工资补助。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分配</w:t>
      </w:r>
      <w:r>
        <w:rPr>
          <w:rFonts w:hint="eastAsia" w:ascii="仿宋" w:hAnsi="仿宋" w:eastAsia="仿宋"/>
          <w:sz w:val="32"/>
          <w:szCs w:val="32"/>
        </w:rPr>
        <w:t>1278.38</w:t>
      </w:r>
      <w:r>
        <w:rPr>
          <w:rFonts w:hint="eastAsia" w:ascii="仿宋" w:hAnsi="仿宋" w:eastAsia="仿宋" w:cs="仿宋_GB2312"/>
          <w:sz w:val="32"/>
          <w:szCs w:val="32"/>
        </w:rPr>
        <w:t>万元，足额用于发放学校教职员工的工资、五险一金。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数量指标做到应享尽享，质量指标做到足额及时补助，时效指标做到全部及时补助，成本指标做到财政拨款及时到位</w:t>
      </w:r>
      <w:r>
        <w:rPr>
          <w:rFonts w:ascii="仿宋" w:hAnsi="仿宋" w:eastAsia="仿宋" w:cs="仿宋_GB2312"/>
          <w:sz w:val="32"/>
          <w:szCs w:val="32"/>
        </w:rPr>
        <w:t>，经济效益</w:t>
      </w:r>
      <w:r>
        <w:rPr>
          <w:rFonts w:hint="eastAsia" w:ascii="仿宋" w:hAnsi="仿宋" w:eastAsia="仿宋" w:cs="仿宋_GB2312"/>
          <w:sz w:val="32"/>
          <w:szCs w:val="32"/>
        </w:rPr>
        <w:t>为让全体教职员工全部及时得到补助，</w:t>
      </w:r>
      <w:r>
        <w:rPr>
          <w:rFonts w:ascii="仿宋" w:hAnsi="仿宋" w:eastAsia="仿宋" w:cs="仿宋_GB2312"/>
          <w:sz w:val="32"/>
          <w:szCs w:val="32"/>
        </w:rPr>
        <w:t>受益群体满意度</w:t>
      </w:r>
      <w:r>
        <w:rPr>
          <w:rFonts w:hint="eastAsia" w:ascii="仿宋" w:hAnsi="仿宋" w:eastAsia="仿宋" w:cs="仿宋_GB2312"/>
          <w:sz w:val="32"/>
          <w:szCs w:val="32"/>
        </w:rPr>
        <w:t>为满意</w:t>
      </w:r>
      <w:r>
        <w:rPr>
          <w:rFonts w:ascii="仿宋" w:hAnsi="仿宋" w:eastAsia="仿宋" w:cs="仿宋_GB2312"/>
          <w:sz w:val="32"/>
          <w:szCs w:val="32"/>
        </w:rPr>
        <w:t>。</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暂未发现问题。</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left="640"/>
        <w:rPr>
          <w:rStyle w:val="25"/>
          <w:rFonts w:ascii="仿宋" w:hAnsi="仿宋" w:eastAsia="仿宋" w:cs="仿宋_GB2312"/>
          <w:b w:val="0"/>
          <w:bCs w:val="0"/>
          <w:kern w:val="2"/>
          <w:sz w:val="32"/>
          <w:szCs w:val="32"/>
        </w:rPr>
      </w:pPr>
      <w:r>
        <w:rPr>
          <w:rStyle w:val="25"/>
          <w:rFonts w:hint="eastAsia" w:ascii="仿宋" w:hAnsi="仿宋" w:eastAsia="仿宋" w:cs="仿宋_GB2312"/>
          <w:b w:val="0"/>
          <w:bCs w:val="0"/>
          <w:kern w:val="2"/>
          <w:sz w:val="32"/>
          <w:szCs w:val="32"/>
        </w:rPr>
        <w:t>无。</w:t>
      </w: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600" w:lineRule="exact"/>
        <w:jc w:val="center"/>
        <w:outlineLvl w:val="0"/>
        <w:rPr>
          <w:rStyle w:val="25"/>
          <w:rFonts w:ascii="黑体" w:hAnsi="黑体" w:eastAsia="黑体"/>
          <w:b w:val="0"/>
        </w:rPr>
      </w:pPr>
      <w:bookmarkStart w:id="57" w:name="_Toc15396618"/>
      <w:r>
        <w:rPr>
          <w:rFonts w:hint="eastAsia" w:ascii="黑体" w:hAnsi="黑体" w:eastAsia="黑体"/>
          <w:sz w:val="44"/>
          <w:szCs w:val="44"/>
        </w:rPr>
        <w:t>第</w:t>
      </w:r>
      <w:r>
        <w:rPr>
          <w:rStyle w:val="25"/>
          <w:rFonts w:hint="eastAsia" w:ascii="黑体" w:hAnsi="黑体" w:eastAsia="黑体"/>
          <w:b w:val="0"/>
        </w:rPr>
        <w:t>五部分 附表</w:t>
      </w:r>
      <w:bookmarkEnd w:id="52"/>
      <w:bookmarkEnd w:id="57"/>
    </w:p>
    <w:p>
      <w:pPr>
        <w:spacing w:line="600" w:lineRule="exact"/>
        <w:jc w:val="center"/>
        <w:outlineLvl w:val="0"/>
        <w:rPr>
          <w:rFonts w:ascii="仿宋" w:hAnsi="仿宋" w:eastAsia="仿宋"/>
          <w:b/>
          <w:sz w:val="44"/>
          <w:szCs w:val="44"/>
        </w:rPr>
      </w:pPr>
    </w:p>
    <w:p>
      <w:pPr>
        <w:pStyle w:val="3"/>
        <w:rPr>
          <w:rFonts w:ascii="仿宋" w:hAnsi="仿宋" w:eastAsia="仿宋"/>
        </w:rPr>
      </w:pPr>
      <w:bookmarkStart w:id="58" w:name="_Toc15396619"/>
      <w:r>
        <w:rPr>
          <w:rFonts w:hint="eastAsia" w:ascii="仿宋" w:hAnsi="仿宋" w:eastAsia="仿宋"/>
          <w:b w:val="0"/>
        </w:rPr>
        <w:t>一、收</w:t>
      </w:r>
      <w:r>
        <w:rPr>
          <w:rStyle w:val="26"/>
          <w:rFonts w:hint="eastAsia" w:ascii="仿宋" w:hAnsi="仿宋" w:eastAsia="仿宋"/>
          <w:b w:val="0"/>
          <w:bCs w:val="0"/>
        </w:rPr>
        <w:t>入支出决算总表</w:t>
      </w:r>
      <w:bookmarkEnd w:id="58"/>
    </w:p>
    <w:p>
      <w:pPr>
        <w:pStyle w:val="3"/>
        <w:rPr>
          <w:rFonts w:ascii="仿宋" w:hAnsi="仿宋" w:eastAsia="仿宋"/>
        </w:rPr>
      </w:pPr>
      <w:bookmarkStart w:id="59" w:name="_Toc15396620"/>
      <w:r>
        <w:rPr>
          <w:rFonts w:hint="eastAsia" w:ascii="仿宋" w:hAnsi="仿宋" w:eastAsia="仿宋"/>
          <w:b w:val="0"/>
        </w:rPr>
        <w:t>二、收</w:t>
      </w:r>
      <w:r>
        <w:rPr>
          <w:rStyle w:val="26"/>
          <w:rFonts w:hint="eastAsia" w:ascii="仿宋" w:hAnsi="仿宋" w:eastAsia="仿宋"/>
          <w:b w:val="0"/>
          <w:bCs w:val="0"/>
        </w:rPr>
        <w:t>入总表</w:t>
      </w:r>
      <w:bookmarkEnd w:id="59"/>
    </w:p>
    <w:p>
      <w:pPr>
        <w:pStyle w:val="3"/>
        <w:rPr>
          <w:rFonts w:ascii="仿宋" w:hAnsi="仿宋" w:eastAsia="仿宋"/>
        </w:rPr>
      </w:pPr>
      <w:bookmarkStart w:id="60"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出总表</w:t>
      </w:r>
      <w:bookmarkEnd w:id="60"/>
    </w:p>
    <w:p>
      <w:pPr>
        <w:pStyle w:val="3"/>
        <w:rPr>
          <w:rFonts w:ascii="仿宋" w:hAnsi="仿宋" w:eastAsia="仿宋"/>
          <w:b w:val="0"/>
        </w:rPr>
      </w:pPr>
      <w:bookmarkStart w:id="61"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1"/>
    </w:p>
    <w:p>
      <w:pPr>
        <w:pStyle w:val="3"/>
        <w:rPr>
          <w:rFonts w:ascii="仿宋" w:hAnsi="仿宋" w:eastAsia="仿宋"/>
        </w:rPr>
      </w:pPr>
      <w:bookmarkStart w:id="62"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政拨款支出决算明细表（政府经济分类科目）</w:t>
      </w:r>
      <w:bookmarkEnd w:id="62"/>
    </w:p>
    <w:p>
      <w:pPr>
        <w:pStyle w:val="3"/>
        <w:rPr>
          <w:rFonts w:ascii="仿宋" w:hAnsi="仿宋" w:eastAsia="仿宋"/>
        </w:rPr>
      </w:pPr>
      <w:bookmarkStart w:id="63" w:name="_Toc15396624"/>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3"/>
    </w:p>
    <w:p>
      <w:pPr>
        <w:pStyle w:val="3"/>
        <w:rPr>
          <w:rFonts w:ascii="仿宋" w:hAnsi="仿宋" w:eastAsia="仿宋"/>
        </w:rPr>
      </w:pPr>
      <w:bookmarkStart w:id="64"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4"/>
    </w:p>
    <w:p>
      <w:pPr>
        <w:pStyle w:val="3"/>
        <w:rPr>
          <w:rFonts w:ascii="仿宋" w:hAnsi="仿宋" w:eastAsia="仿宋"/>
        </w:rPr>
      </w:pPr>
      <w:bookmarkStart w:id="65"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5"/>
    </w:p>
    <w:p>
      <w:pPr>
        <w:pStyle w:val="3"/>
        <w:rPr>
          <w:rFonts w:ascii="仿宋" w:hAnsi="仿宋" w:eastAsia="仿宋"/>
        </w:rPr>
      </w:pPr>
      <w:bookmarkStart w:id="66"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6"/>
    </w:p>
    <w:p>
      <w:pPr>
        <w:pStyle w:val="3"/>
        <w:rPr>
          <w:rFonts w:ascii="仿宋" w:hAnsi="仿宋" w:eastAsia="仿宋"/>
        </w:rPr>
      </w:pPr>
      <w:bookmarkStart w:id="67"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7"/>
    </w:p>
    <w:p>
      <w:pPr>
        <w:pStyle w:val="3"/>
        <w:rPr>
          <w:rFonts w:ascii="仿宋" w:hAnsi="仿宋" w:eastAsia="仿宋"/>
        </w:rPr>
      </w:pPr>
      <w:bookmarkStart w:id="68"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8"/>
    </w:p>
    <w:p>
      <w:pPr>
        <w:pStyle w:val="3"/>
        <w:rPr>
          <w:rFonts w:ascii="仿宋" w:hAnsi="仿宋" w:eastAsia="仿宋"/>
        </w:rPr>
      </w:pPr>
      <w:bookmarkStart w:id="69"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69"/>
    </w:p>
    <w:p>
      <w:pPr>
        <w:pStyle w:val="3"/>
        <w:rPr>
          <w:rFonts w:ascii="仿宋" w:hAnsi="仿宋" w:eastAsia="仿宋"/>
        </w:rPr>
      </w:pPr>
      <w:bookmarkStart w:id="70"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有资本经营预算支出决算表</w:t>
      </w:r>
      <w:bookmarkEnd w:id="70"/>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129ED"/>
    <w:rsid w:val="000222C6"/>
    <w:rsid w:val="0002549F"/>
    <w:rsid w:val="000317A9"/>
    <w:rsid w:val="00034B62"/>
    <w:rsid w:val="000433AD"/>
    <w:rsid w:val="0006487A"/>
    <w:rsid w:val="00065F8F"/>
    <w:rsid w:val="000768F2"/>
    <w:rsid w:val="00087BCE"/>
    <w:rsid w:val="0009184B"/>
    <w:rsid w:val="0009593C"/>
    <w:rsid w:val="000A76B5"/>
    <w:rsid w:val="000B047F"/>
    <w:rsid w:val="000B5923"/>
    <w:rsid w:val="000B5A48"/>
    <w:rsid w:val="000B6FF3"/>
    <w:rsid w:val="000C3467"/>
    <w:rsid w:val="000C3CA6"/>
    <w:rsid w:val="000C621C"/>
    <w:rsid w:val="000D1267"/>
    <w:rsid w:val="000D1D50"/>
    <w:rsid w:val="000D293F"/>
    <w:rsid w:val="000D552F"/>
    <w:rsid w:val="000D5782"/>
    <w:rsid w:val="000D724A"/>
    <w:rsid w:val="000E6613"/>
    <w:rsid w:val="000E7119"/>
    <w:rsid w:val="00114E9B"/>
    <w:rsid w:val="00140A23"/>
    <w:rsid w:val="00144650"/>
    <w:rsid w:val="0014729F"/>
    <w:rsid w:val="00157BAB"/>
    <w:rsid w:val="001654D1"/>
    <w:rsid w:val="00180AC2"/>
    <w:rsid w:val="0018106D"/>
    <w:rsid w:val="00185F81"/>
    <w:rsid w:val="001877A7"/>
    <w:rsid w:val="0019150A"/>
    <w:rsid w:val="00191536"/>
    <w:rsid w:val="00196687"/>
    <w:rsid w:val="001A712A"/>
    <w:rsid w:val="001C0962"/>
    <w:rsid w:val="001C1DF1"/>
    <w:rsid w:val="001D7531"/>
    <w:rsid w:val="001E737D"/>
    <w:rsid w:val="001F0592"/>
    <w:rsid w:val="001F7506"/>
    <w:rsid w:val="001F7B9D"/>
    <w:rsid w:val="002006CD"/>
    <w:rsid w:val="00202B36"/>
    <w:rsid w:val="00204B7A"/>
    <w:rsid w:val="0021101A"/>
    <w:rsid w:val="00216C21"/>
    <w:rsid w:val="00220536"/>
    <w:rsid w:val="00235629"/>
    <w:rsid w:val="00244457"/>
    <w:rsid w:val="00254518"/>
    <w:rsid w:val="00260C38"/>
    <w:rsid w:val="002616C0"/>
    <w:rsid w:val="002617DA"/>
    <w:rsid w:val="002662AA"/>
    <w:rsid w:val="0027365B"/>
    <w:rsid w:val="00275891"/>
    <w:rsid w:val="00280496"/>
    <w:rsid w:val="00295495"/>
    <w:rsid w:val="002A09B6"/>
    <w:rsid w:val="002B009B"/>
    <w:rsid w:val="002B2613"/>
    <w:rsid w:val="002B72EE"/>
    <w:rsid w:val="002D0309"/>
    <w:rsid w:val="002F1818"/>
    <w:rsid w:val="002F567B"/>
    <w:rsid w:val="00315E55"/>
    <w:rsid w:val="003216A9"/>
    <w:rsid w:val="00326C11"/>
    <w:rsid w:val="00366360"/>
    <w:rsid w:val="0037013F"/>
    <w:rsid w:val="00380C92"/>
    <w:rsid w:val="0038245D"/>
    <w:rsid w:val="0038593C"/>
    <w:rsid w:val="003A484F"/>
    <w:rsid w:val="003B06F3"/>
    <w:rsid w:val="003B0BE0"/>
    <w:rsid w:val="003B0C1B"/>
    <w:rsid w:val="003B2C39"/>
    <w:rsid w:val="003B3D42"/>
    <w:rsid w:val="003B6698"/>
    <w:rsid w:val="003B688C"/>
    <w:rsid w:val="003C0291"/>
    <w:rsid w:val="003C39AE"/>
    <w:rsid w:val="003C7B60"/>
    <w:rsid w:val="003D1C72"/>
    <w:rsid w:val="003D1FB2"/>
    <w:rsid w:val="003D66DA"/>
    <w:rsid w:val="003E1310"/>
    <w:rsid w:val="003E6F55"/>
    <w:rsid w:val="00406254"/>
    <w:rsid w:val="004223DE"/>
    <w:rsid w:val="00423AE8"/>
    <w:rsid w:val="00434489"/>
    <w:rsid w:val="00435B25"/>
    <w:rsid w:val="00437085"/>
    <w:rsid w:val="00443880"/>
    <w:rsid w:val="0044445D"/>
    <w:rsid w:val="004464F4"/>
    <w:rsid w:val="00461BB5"/>
    <w:rsid w:val="00471401"/>
    <w:rsid w:val="004720A1"/>
    <w:rsid w:val="00473F31"/>
    <w:rsid w:val="0048263A"/>
    <w:rsid w:val="00485BE4"/>
    <w:rsid w:val="00487E5D"/>
    <w:rsid w:val="004A711F"/>
    <w:rsid w:val="004B199D"/>
    <w:rsid w:val="004B4690"/>
    <w:rsid w:val="004E0A2D"/>
    <w:rsid w:val="004E206B"/>
    <w:rsid w:val="004E6DF7"/>
    <w:rsid w:val="004F0FBD"/>
    <w:rsid w:val="004F1C74"/>
    <w:rsid w:val="004F6AF8"/>
    <w:rsid w:val="00505A47"/>
    <w:rsid w:val="00506EA7"/>
    <w:rsid w:val="00512FDA"/>
    <w:rsid w:val="0052008F"/>
    <w:rsid w:val="00520DA0"/>
    <w:rsid w:val="005664BB"/>
    <w:rsid w:val="0057481D"/>
    <w:rsid w:val="0057680D"/>
    <w:rsid w:val="0058486E"/>
    <w:rsid w:val="00595FB0"/>
    <w:rsid w:val="005A570F"/>
    <w:rsid w:val="005D1C8B"/>
    <w:rsid w:val="005D5CED"/>
    <w:rsid w:val="005F1A4C"/>
    <w:rsid w:val="005F27DC"/>
    <w:rsid w:val="005F6EF8"/>
    <w:rsid w:val="0060123F"/>
    <w:rsid w:val="00605688"/>
    <w:rsid w:val="006070AF"/>
    <w:rsid w:val="00607E6C"/>
    <w:rsid w:val="006101B1"/>
    <w:rsid w:val="00614E44"/>
    <w:rsid w:val="00622830"/>
    <w:rsid w:val="00630AEF"/>
    <w:rsid w:val="006325F8"/>
    <w:rsid w:val="00634C9A"/>
    <w:rsid w:val="00643146"/>
    <w:rsid w:val="006440E4"/>
    <w:rsid w:val="00646E94"/>
    <w:rsid w:val="0066343B"/>
    <w:rsid w:val="00664777"/>
    <w:rsid w:val="00670089"/>
    <w:rsid w:val="006748A4"/>
    <w:rsid w:val="00683E73"/>
    <w:rsid w:val="00686BC8"/>
    <w:rsid w:val="00691DDE"/>
    <w:rsid w:val="006932FC"/>
    <w:rsid w:val="006A3141"/>
    <w:rsid w:val="006A5E34"/>
    <w:rsid w:val="006B2422"/>
    <w:rsid w:val="006B2B9A"/>
    <w:rsid w:val="006B707A"/>
    <w:rsid w:val="006C1937"/>
    <w:rsid w:val="006E2588"/>
    <w:rsid w:val="006F020C"/>
    <w:rsid w:val="00705901"/>
    <w:rsid w:val="007127B7"/>
    <w:rsid w:val="00716D18"/>
    <w:rsid w:val="0072209D"/>
    <w:rsid w:val="00732457"/>
    <w:rsid w:val="00740C28"/>
    <w:rsid w:val="007416B6"/>
    <w:rsid w:val="007428E3"/>
    <w:rsid w:val="00746F48"/>
    <w:rsid w:val="0075404D"/>
    <w:rsid w:val="00760236"/>
    <w:rsid w:val="0076182A"/>
    <w:rsid w:val="0076191E"/>
    <w:rsid w:val="007677BF"/>
    <w:rsid w:val="00767B7E"/>
    <w:rsid w:val="007770C3"/>
    <w:rsid w:val="00784D24"/>
    <w:rsid w:val="00785FBA"/>
    <w:rsid w:val="00786E4A"/>
    <w:rsid w:val="007875EB"/>
    <w:rsid w:val="0079426B"/>
    <w:rsid w:val="007B3C57"/>
    <w:rsid w:val="007C1CAF"/>
    <w:rsid w:val="007D312A"/>
    <w:rsid w:val="007D3385"/>
    <w:rsid w:val="007D3F19"/>
    <w:rsid w:val="007D7291"/>
    <w:rsid w:val="007E23B0"/>
    <w:rsid w:val="007E7583"/>
    <w:rsid w:val="007F1991"/>
    <w:rsid w:val="007F2C2F"/>
    <w:rsid w:val="007F448A"/>
    <w:rsid w:val="007F55FC"/>
    <w:rsid w:val="007F5665"/>
    <w:rsid w:val="00800112"/>
    <w:rsid w:val="008253BB"/>
    <w:rsid w:val="00833C26"/>
    <w:rsid w:val="0083706E"/>
    <w:rsid w:val="008423A5"/>
    <w:rsid w:val="00844DE7"/>
    <w:rsid w:val="00850625"/>
    <w:rsid w:val="00853718"/>
    <w:rsid w:val="00855221"/>
    <w:rsid w:val="00860645"/>
    <w:rsid w:val="00871F71"/>
    <w:rsid w:val="00885AF4"/>
    <w:rsid w:val="00885EB2"/>
    <w:rsid w:val="008939CD"/>
    <w:rsid w:val="008B31D5"/>
    <w:rsid w:val="008B666D"/>
    <w:rsid w:val="008B768C"/>
    <w:rsid w:val="008C4DB1"/>
    <w:rsid w:val="008C4EAF"/>
    <w:rsid w:val="008C5176"/>
    <w:rsid w:val="008C7FD0"/>
    <w:rsid w:val="008D4484"/>
    <w:rsid w:val="008E1DE7"/>
    <w:rsid w:val="008E707C"/>
    <w:rsid w:val="008F2472"/>
    <w:rsid w:val="008F2D37"/>
    <w:rsid w:val="008F4482"/>
    <w:rsid w:val="00900B08"/>
    <w:rsid w:val="00902155"/>
    <w:rsid w:val="00902FA3"/>
    <w:rsid w:val="0091525E"/>
    <w:rsid w:val="00922F90"/>
    <w:rsid w:val="00923564"/>
    <w:rsid w:val="0092392E"/>
    <w:rsid w:val="00931537"/>
    <w:rsid w:val="009315F9"/>
    <w:rsid w:val="00946945"/>
    <w:rsid w:val="00951248"/>
    <w:rsid w:val="0095152F"/>
    <w:rsid w:val="00954C49"/>
    <w:rsid w:val="00961E76"/>
    <w:rsid w:val="0096407E"/>
    <w:rsid w:val="0097099F"/>
    <w:rsid w:val="00971997"/>
    <w:rsid w:val="00971FFC"/>
    <w:rsid w:val="009811A8"/>
    <w:rsid w:val="00985935"/>
    <w:rsid w:val="0098660A"/>
    <w:rsid w:val="009874B2"/>
    <w:rsid w:val="009931C3"/>
    <w:rsid w:val="009A0751"/>
    <w:rsid w:val="009B2C43"/>
    <w:rsid w:val="009B4EAE"/>
    <w:rsid w:val="009B7573"/>
    <w:rsid w:val="009C22F4"/>
    <w:rsid w:val="009C2E98"/>
    <w:rsid w:val="009D3447"/>
    <w:rsid w:val="009D4711"/>
    <w:rsid w:val="009E554C"/>
    <w:rsid w:val="009F1185"/>
    <w:rsid w:val="009F18CD"/>
    <w:rsid w:val="009F2A13"/>
    <w:rsid w:val="009F2D2D"/>
    <w:rsid w:val="009F4C53"/>
    <w:rsid w:val="00A04EB0"/>
    <w:rsid w:val="00A13CC1"/>
    <w:rsid w:val="00A16847"/>
    <w:rsid w:val="00A20FEA"/>
    <w:rsid w:val="00A21E26"/>
    <w:rsid w:val="00A237D8"/>
    <w:rsid w:val="00A268C4"/>
    <w:rsid w:val="00A307CD"/>
    <w:rsid w:val="00A40A00"/>
    <w:rsid w:val="00A40D53"/>
    <w:rsid w:val="00A4142F"/>
    <w:rsid w:val="00A5230D"/>
    <w:rsid w:val="00A52F66"/>
    <w:rsid w:val="00A56DF2"/>
    <w:rsid w:val="00A67AB5"/>
    <w:rsid w:val="00A7628F"/>
    <w:rsid w:val="00A91760"/>
    <w:rsid w:val="00A93B00"/>
    <w:rsid w:val="00A93C21"/>
    <w:rsid w:val="00A9768F"/>
    <w:rsid w:val="00AC3C6A"/>
    <w:rsid w:val="00AD5620"/>
    <w:rsid w:val="00AD7C1B"/>
    <w:rsid w:val="00AE16BA"/>
    <w:rsid w:val="00AE1EBE"/>
    <w:rsid w:val="00AF38AB"/>
    <w:rsid w:val="00AF4F30"/>
    <w:rsid w:val="00AF5C2C"/>
    <w:rsid w:val="00AF7433"/>
    <w:rsid w:val="00B03C9D"/>
    <w:rsid w:val="00B060AE"/>
    <w:rsid w:val="00B10517"/>
    <w:rsid w:val="00B14E76"/>
    <w:rsid w:val="00B161B8"/>
    <w:rsid w:val="00B177F2"/>
    <w:rsid w:val="00B2048C"/>
    <w:rsid w:val="00B2267D"/>
    <w:rsid w:val="00B310B9"/>
    <w:rsid w:val="00B33D33"/>
    <w:rsid w:val="00B35F3F"/>
    <w:rsid w:val="00B36CBB"/>
    <w:rsid w:val="00B425E0"/>
    <w:rsid w:val="00B42FB5"/>
    <w:rsid w:val="00B440AA"/>
    <w:rsid w:val="00B44B70"/>
    <w:rsid w:val="00B47DAA"/>
    <w:rsid w:val="00B53C56"/>
    <w:rsid w:val="00B575DB"/>
    <w:rsid w:val="00B77EA6"/>
    <w:rsid w:val="00B80C8A"/>
    <w:rsid w:val="00B81598"/>
    <w:rsid w:val="00B841F1"/>
    <w:rsid w:val="00B944D6"/>
    <w:rsid w:val="00B975CC"/>
    <w:rsid w:val="00BB4DF0"/>
    <w:rsid w:val="00BC289F"/>
    <w:rsid w:val="00BC5361"/>
    <w:rsid w:val="00BC5460"/>
    <w:rsid w:val="00BC6B50"/>
    <w:rsid w:val="00BD0E25"/>
    <w:rsid w:val="00BD4DA9"/>
    <w:rsid w:val="00BF5BD6"/>
    <w:rsid w:val="00C03E31"/>
    <w:rsid w:val="00C0410F"/>
    <w:rsid w:val="00C107FF"/>
    <w:rsid w:val="00C33E72"/>
    <w:rsid w:val="00C354B2"/>
    <w:rsid w:val="00C35554"/>
    <w:rsid w:val="00C42709"/>
    <w:rsid w:val="00C533CC"/>
    <w:rsid w:val="00C54E85"/>
    <w:rsid w:val="00C559E3"/>
    <w:rsid w:val="00C5751C"/>
    <w:rsid w:val="00C61BFC"/>
    <w:rsid w:val="00C62B85"/>
    <w:rsid w:val="00C65438"/>
    <w:rsid w:val="00C84A36"/>
    <w:rsid w:val="00C91CBB"/>
    <w:rsid w:val="00CC09B6"/>
    <w:rsid w:val="00CC666F"/>
    <w:rsid w:val="00CD1E3F"/>
    <w:rsid w:val="00CE44F6"/>
    <w:rsid w:val="00CE49DA"/>
    <w:rsid w:val="00CE6F6B"/>
    <w:rsid w:val="00CE7B61"/>
    <w:rsid w:val="00D00095"/>
    <w:rsid w:val="00D14591"/>
    <w:rsid w:val="00D20620"/>
    <w:rsid w:val="00D26091"/>
    <w:rsid w:val="00D34E7C"/>
    <w:rsid w:val="00D35489"/>
    <w:rsid w:val="00D4346B"/>
    <w:rsid w:val="00D43811"/>
    <w:rsid w:val="00D51276"/>
    <w:rsid w:val="00D7035F"/>
    <w:rsid w:val="00D71A44"/>
    <w:rsid w:val="00D928F7"/>
    <w:rsid w:val="00DA0754"/>
    <w:rsid w:val="00DA5D4F"/>
    <w:rsid w:val="00DA65AC"/>
    <w:rsid w:val="00DB1913"/>
    <w:rsid w:val="00DC410D"/>
    <w:rsid w:val="00DC68CA"/>
    <w:rsid w:val="00DC6FCA"/>
    <w:rsid w:val="00DC7CBA"/>
    <w:rsid w:val="00DD421E"/>
    <w:rsid w:val="00DD73B7"/>
    <w:rsid w:val="00DF28BC"/>
    <w:rsid w:val="00DF34B9"/>
    <w:rsid w:val="00E01053"/>
    <w:rsid w:val="00E07ACF"/>
    <w:rsid w:val="00E11FBF"/>
    <w:rsid w:val="00E22629"/>
    <w:rsid w:val="00E331A1"/>
    <w:rsid w:val="00E33202"/>
    <w:rsid w:val="00E336A9"/>
    <w:rsid w:val="00E50624"/>
    <w:rsid w:val="00E537A8"/>
    <w:rsid w:val="00E568DF"/>
    <w:rsid w:val="00E64269"/>
    <w:rsid w:val="00E64D62"/>
    <w:rsid w:val="00E71D79"/>
    <w:rsid w:val="00E7479E"/>
    <w:rsid w:val="00E82267"/>
    <w:rsid w:val="00E82DA7"/>
    <w:rsid w:val="00EA010F"/>
    <w:rsid w:val="00ED1B63"/>
    <w:rsid w:val="00ED3C1F"/>
    <w:rsid w:val="00ED4085"/>
    <w:rsid w:val="00ED420E"/>
    <w:rsid w:val="00ED6A88"/>
    <w:rsid w:val="00EE01BB"/>
    <w:rsid w:val="00EE02B4"/>
    <w:rsid w:val="00EE2F57"/>
    <w:rsid w:val="00EE7BB1"/>
    <w:rsid w:val="00EF4C34"/>
    <w:rsid w:val="00EF77C6"/>
    <w:rsid w:val="00F05438"/>
    <w:rsid w:val="00F1361C"/>
    <w:rsid w:val="00F141AF"/>
    <w:rsid w:val="00F160C7"/>
    <w:rsid w:val="00F21F82"/>
    <w:rsid w:val="00F36D8F"/>
    <w:rsid w:val="00F417B1"/>
    <w:rsid w:val="00F420B8"/>
    <w:rsid w:val="00F602DF"/>
    <w:rsid w:val="00F817FC"/>
    <w:rsid w:val="00F81FD9"/>
    <w:rsid w:val="00F841AA"/>
    <w:rsid w:val="00F9713D"/>
    <w:rsid w:val="00FA23E8"/>
    <w:rsid w:val="00FB05E0"/>
    <w:rsid w:val="00FD3CC1"/>
    <w:rsid w:val="00FE2B82"/>
    <w:rsid w:val="00FF1E02"/>
    <w:rsid w:val="00FF30B4"/>
    <w:rsid w:val="10C055FF"/>
    <w:rsid w:val="12373B7B"/>
    <w:rsid w:val="16BB723D"/>
    <w:rsid w:val="1BCA7E31"/>
    <w:rsid w:val="1CE52FAB"/>
    <w:rsid w:val="240371BF"/>
    <w:rsid w:val="252866DC"/>
    <w:rsid w:val="28291FA3"/>
    <w:rsid w:val="29FD04D3"/>
    <w:rsid w:val="319F7F4E"/>
    <w:rsid w:val="490E3CB9"/>
    <w:rsid w:val="7B5564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uiPriority w:val="99"/>
    <w:rPr>
      <w:sz w:val="18"/>
      <w:szCs w:val="18"/>
    </w:rPr>
  </w:style>
  <w:style w:type="paragraph" w:styleId="8">
    <w:name w:val="footer"/>
    <w:basedOn w:val="1"/>
    <w:link w:val="20"/>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99"/>
    <w:rPr>
      <w:b/>
    </w:rPr>
  </w:style>
  <w:style w:type="character" w:styleId="16">
    <w:name w:val="Hyperlink"/>
    <w:basedOn w:val="14"/>
    <w:unhideWhenUsed/>
    <w:uiPriority w:val="99"/>
    <w:rPr>
      <w:color w:val="0000FF" w:themeColor="hyperlink"/>
      <w:u w:val="single"/>
      <w14:textFill>
        <w14:solidFill>
          <w14:schemeClr w14:val="hlink"/>
        </w14:solidFill>
      </w14:textFill>
    </w:rPr>
  </w:style>
  <w:style w:type="character" w:customStyle="1" w:styleId="17">
    <w:name w:val="Header Char"/>
    <w:basedOn w:val="14"/>
    <w:semiHidden/>
    <w:uiPriority w:val="99"/>
    <w:rPr>
      <w:rFonts w:ascii="Times New Roman" w:hAnsi="Times New Roman"/>
      <w:sz w:val="18"/>
      <w:szCs w:val="18"/>
    </w:rPr>
  </w:style>
  <w:style w:type="character" w:customStyle="1" w:styleId="18">
    <w:name w:val="页眉 Char"/>
    <w:link w:val="9"/>
    <w:semiHidden/>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uiPriority w:val="99"/>
    <w:rPr>
      <w:rFonts w:ascii="Times New Roman" w:hAnsi="Times New Roman"/>
      <w:kern w:val="2"/>
      <w:sz w:val="18"/>
      <w:szCs w:val="18"/>
    </w:rPr>
  </w:style>
  <w:style w:type="character" w:customStyle="1" w:styleId="29">
    <w:name w:val="标题 3 Char"/>
    <w:basedOn w:val="14"/>
    <w:link w:val="4"/>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67B3E-94F9-4D73-81CB-345B80DB08CD}">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25</Pages>
  <Words>1500</Words>
  <Characters>8552</Characters>
  <Lines>71</Lines>
  <Paragraphs>20</Paragraphs>
  <TotalTime>14</TotalTime>
  <ScaleCrop>false</ScaleCrop>
  <LinksUpToDate>false</LinksUpToDate>
  <CharactersWithSpaces>10032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bzf</cp:lastModifiedBy>
  <cp:lastPrinted>2019-08-01T00:48:00Z</cp:lastPrinted>
  <dcterms:modified xsi:type="dcterms:W3CDTF">2021-05-22T03:24:26Z</dcterms:modified>
  <dc:title>四川省***</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