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96597"/>
      <w:bookmarkStart w:id="5" w:name="_Toc15378441"/>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78442"/>
      <w:bookmarkStart w:id="8" w:name="_Toc15377194"/>
      <w:bookmarkStart w:id="9" w:name="_Toc15396598"/>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达州市达川区经济和信息化局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5"/>
          <w:rFonts w:hint="eastAsia"/>
        </w:rPr>
        <w:t>第一部分</w:t>
      </w:r>
      <w:r>
        <w:rPr>
          <w:rStyle w:val="15"/>
        </w:rPr>
        <w:t xml:space="preserve"> </w:t>
      </w:r>
      <w:r>
        <w:rPr>
          <w:rStyle w:val="15"/>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11</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fldChar w:fldCharType="begin"/>
      </w:r>
      <w:r>
        <w:instrText xml:space="preserve"> PAGEREF _Toc15396613 \h </w:instrText>
      </w:r>
      <w:r>
        <w:fldChar w:fldCharType="separate"/>
      </w:r>
      <w:r>
        <w:t>20</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w:t>
      </w:r>
      <w:r>
        <w:rPr>
          <w:rStyle w:val="15"/>
          <w:bCs/>
          <w:kern w:val="44"/>
        </w:rPr>
        <w:t xml:space="preserve"> </w:t>
      </w:r>
      <w:r>
        <w:rPr>
          <w:rStyle w:val="15"/>
          <w:rFonts w:hint="eastAsia"/>
          <w:bCs/>
          <w:kern w:val="44"/>
        </w:rPr>
        <w:t>附件</w:t>
      </w:r>
      <w:r>
        <w:tab/>
      </w:r>
      <w:r>
        <w:fldChar w:fldCharType="begin"/>
      </w:r>
      <w:r>
        <w:instrText xml:space="preserve"> PAGEREF _Toc15396614 \h </w:instrText>
      </w:r>
      <w:r>
        <w:fldChar w:fldCharType="separate"/>
      </w:r>
      <w:r>
        <w:t>23</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w:t>
      </w:r>
      <w:r>
        <w:rPr>
          <w:rStyle w:val="15"/>
          <w:bCs/>
          <w:kern w:val="44"/>
        </w:rPr>
        <w:t xml:space="preserve"> </w:t>
      </w:r>
      <w:r>
        <w:rPr>
          <w:rStyle w:val="15"/>
          <w:rFonts w:hint="eastAsia"/>
          <w:bCs/>
          <w:kern w:val="44"/>
        </w:rPr>
        <w:t>附表</w:t>
      </w:r>
      <w:r>
        <w:tab/>
      </w:r>
      <w:r>
        <w:fldChar w:fldCharType="begin"/>
      </w:r>
      <w:r>
        <w:instrText xml:space="preserve"> PAGEREF _Toc15396618 \h </w:instrText>
      </w:r>
      <w:r>
        <w:fldChar w:fldCharType="separate"/>
      </w:r>
      <w:r>
        <w:t>26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贯彻实施国家和省、市有关工业经济、信息化和无线电管理的方针、政策和法律、法规，组织实施国家西部新一轮大开发战略等有关工业经济的政策措施，负责本系统、本部门依法行政工作，落实行政执法责任制。组织推动信息化和工业化融合、工业化与城镇化联动，负责推进全区工业结构调整。</w:t>
      </w:r>
    </w:p>
    <w:p>
      <w:pPr>
        <w:spacing w:line="578"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负责拟订新型工业化发展战略和重大政策，协调解决新型工业化进程中的重大问题，组织实施工业强区战略。参与制订国民经济和社会发展规划，负责制定并组织实施工业（不含能源，下同）、信息化相关行业的发展规划、年度计划和产业政策，拟订行业技术规范与行业标准并组织实施，指导行业质量管理工作。</w:t>
      </w:r>
    </w:p>
    <w:p>
      <w:pPr>
        <w:spacing w:line="578"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监测、分析经济运行态势和质量，建立全区工业经济运行预警机制，拟订中、近期经济运行目标、政策并组织实施，协调解决经济运行中的重大问题。负责电力、煤炭、成品油、天然气等重要物资综合调控、紧急调度和交通运输协调工作，负责区级医药储备的监督管理。承办年度工业经济目标责任考核。</w:t>
      </w:r>
    </w:p>
    <w:p>
      <w:pPr>
        <w:spacing w:line="578"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负责全区企业技术改造推进工作，组织制定并实施全区企业技术改造投资规划和政策，制定并发布全区企业技术改造投资项目引导目录。提出工业和信息化固定资产投资规模的意见，按照规定权限审批、核准、备案规划内全区企业技术改造项目，组织企业技术改造项目申报国家和省有关专项计划并组织实施。</w:t>
      </w:r>
    </w:p>
    <w:p>
      <w:pPr>
        <w:spacing w:line="578"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负责全区企业技术创新体系建设，制定鼓励企业技术创新的政策措施，指导企业技术创新、技术引进、重大装备国产化和重大技术装备研制，编制下达全区企业技术创新项目计划并组织实施，按照规定程序会同有关部门组织企业技术中心申报、认定和建设管理工作。</w:t>
      </w:r>
    </w:p>
    <w:p>
      <w:pPr>
        <w:spacing w:line="578"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负责全区产业园区建设发展的牵头服务工作，拟订并组织实施产业园区、产业集群发展规划和政策措施，指导产业园区合理布局，负责推进重点产业园区建设发展，推进园区公共配套设施建设，组织实施产业园区公共服务平台项目计划。</w:t>
      </w:r>
    </w:p>
    <w:p>
      <w:pPr>
        <w:spacing w:line="578"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负责全区工业和信息化领域的节能降耗、清洁生产和资源节约与综合利用工作，协调推进工业化与生态环境协调发展中的重大问题，组织实施相关重大示范项目和新产品、新技术、新工艺、新设备、新材料的推广应用。</w:t>
      </w:r>
    </w:p>
    <w:p>
      <w:pPr>
        <w:spacing w:line="578"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负责推进企业信用制度建设，负责中小企业信用担保和融资体系建设并实施行业监管，负责制订工业发展资金等财政专项资金使用计划，负责企业技术改造、技术创新、生产运行等涉及财政、信贷、税收、保险等方面问题的协调，指导工业企业直接融资工作，参与工业企业上市培育工作。</w:t>
      </w:r>
    </w:p>
    <w:p>
      <w:pPr>
        <w:spacing w:line="578"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rPr>
        <w:t>对国家重大工业经济政策实施情况进行督查，指导企</w:t>
      </w:r>
      <w:r>
        <w:rPr>
          <w:rFonts w:eastAsia="方正仿宋_GBK"/>
          <w:sz w:val="32"/>
          <w:szCs w:val="32"/>
        </w:rPr>
        <w:t xml:space="preserve"> </w:t>
      </w:r>
      <w:r>
        <w:rPr>
          <w:rFonts w:hint="eastAsia" w:eastAsia="方正仿宋_GBK"/>
          <w:sz w:val="32"/>
          <w:szCs w:val="32"/>
        </w:rPr>
        <w:t>业建立现代企业制度、改组改造、兼并重组，负责全区企业治乱减负工作，指导企业经营管理人员、专业技术人员培训，负责全区大企业大集团和龙头骨干企业的培育工作，负责全区中小企业发展的指导推进工作，综合协调有关部门拟订促进中小企业发展的政策措施，负责推进中小企业服务体系建设。</w:t>
      </w:r>
    </w:p>
    <w:p>
      <w:pPr>
        <w:spacing w:line="578" w:lineRule="exact"/>
        <w:ind w:firstLine="640" w:firstLineChars="200"/>
        <w:rPr>
          <w:rFonts w:eastAsia="方正仿宋_GBK"/>
          <w:sz w:val="32"/>
          <w:szCs w:val="32"/>
        </w:rPr>
      </w:pPr>
      <w:r>
        <w:rPr>
          <w:rFonts w:eastAsia="方正仿宋_GBK"/>
          <w:sz w:val="32"/>
          <w:szCs w:val="32"/>
        </w:rPr>
        <w:t>10.</w:t>
      </w:r>
      <w:r>
        <w:rPr>
          <w:rFonts w:hint="eastAsia" w:eastAsia="方正仿宋_GBK"/>
          <w:sz w:val="32"/>
          <w:szCs w:val="32"/>
        </w:rPr>
        <w:t>负责对全区工业各行业实施行业管理，制定并组织实施相关政策措施，拟订新材料、节能环保、生物医药等战略性新兴产业发展规划、年度计划、政策措施并组织实施。拟订加快农产品加工业发展的政策措施，参与推进农业产业化龙头企业建设，参与推进农业现代化和新农村建设。指导工业、信息化和无线电领域的社会中介组织发展。</w:t>
      </w:r>
    </w:p>
    <w:p>
      <w:pPr>
        <w:spacing w:line="578" w:lineRule="exact"/>
        <w:ind w:firstLine="640" w:firstLineChars="200"/>
        <w:rPr>
          <w:rFonts w:eastAsia="方正仿宋_GBK"/>
          <w:sz w:val="32"/>
          <w:szCs w:val="32"/>
        </w:rPr>
      </w:pPr>
      <w:r>
        <w:rPr>
          <w:rFonts w:eastAsia="方正仿宋_GBK"/>
          <w:sz w:val="32"/>
          <w:szCs w:val="32"/>
        </w:rPr>
        <w:t>11.</w:t>
      </w:r>
      <w:r>
        <w:rPr>
          <w:rFonts w:hint="eastAsia" w:eastAsia="方正仿宋_GBK"/>
          <w:sz w:val="32"/>
          <w:szCs w:val="32"/>
        </w:rPr>
        <w:t>统筹推进全区信息化工作，制定并组织实施相关政策，指导企业信息化、电子商务和互联网发展，推动跨行业、跨部门面向社会服务网络的互联互通和信息资源共享，负责组织区本级预算单位信息化项目支出预算的前置审核。</w:t>
      </w:r>
    </w:p>
    <w:p>
      <w:pPr>
        <w:spacing w:line="578" w:lineRule="exact"/>
        <w:ind w:firstLine="640" w:firstLineChars="200"/>
        <w:rPr>
          <w:rFonts w:eastAsia="方正仿宋_GBK"/>
          <w:sz w:val="32"/>
          <w:szCs w:val="32"/>
        </w:rPr>
      </w:pPr>
      <w:r>
        <w:rPr>
          <w:rFonts w:eastAsia="方正仿宋_GBK"/>
          <w:sz w:val="32"/>
          <w:szCs w:val="32"/>
        </w:rPr>
        <w:t>12.</w:t>
      </w:r>
      <w:r>
        <w:rPr>
          <w:rFonts w:hint="eastAsia" w:eastAsia="方正仿宋_GBK"/>
          <w:sz w:val="32"/>
          <w:szCs w:val="32"/>
        </w:rPr>
        <w:t>负责全区信息基础设施建设的规划、协调和管理，组织相关部门制订通信管线规划并承担相应的管理工作，协调电信市场涉及社会公共利益的重大事项，协调管理全区通信行业。</w:t>
      </w:r>
    </w:p>
    <w:p>
      <w:pPr>
        <w:spacing w:line="578" w:lineRule="exact"/>
        <w:ind w:firstLine="640" w:firstLineChars="200"/>
        <w:rPr>
          <w:rFonts w:eastAsia="方正仿宋_GBK"/>
          <w:sz w:val="32"/>
          <w:szCs w:val="32"/>
        </w:rPr>
      </w:pPr>
      <w:r>
        <w:rPr>
          <w:rFonts w:eastAsia="方正仿宋_GBK"/>
          <w:sz w:val="32"/>
          <w:szCs w:val="32"/>
        </w:rPr>
        <w:t>13.</w:t>
      </w:r>
      <w:r>
        <w:rPr>
          <w:rFonts w:hint="eastAsia" w:eastAsia="方正仿宋_GBK"/>
          <w:sz w:val="32"/>
          <w:szCs w:val="32"/>
        </w:rPr>
        <w:t>组织协调全区信息安全保障体系建设，指导和监督政府部门、重点行业的重要信息系统与信息网络的安全保障工作，指导信息安全防范工作，参与处理网络与信息安全重大事件。</w:t>
      </w:r>
    </w:p>
    <w:p>
      <w:pPr>
        <w:spacing w:line="578" w:lineRule="exact"/>
        <w:ind w:firstLine="640" w:firstLineChars="200"/>
        <w:rPr>
          <w:rFonts w:eastAsia="方正仿宋_GBK"/>
          <w:sz w:val="32"/>
          <w:szCs w:val="32"/>
        </w:rPr>
      </w:pPr>
      <w:r>
        <w:rPr>
          <w:rFonts w:eastAsia="方正仿宋_GBK"/>
          <w:sz w:val="32"/>
          <w:szCs w:val="32"/>
        </w:rPr>
        <w:t>14.</w:t>
      </w:r>
      <w:r>
        <w:rPr>
          <w:rFonts w:hint="eastAsia" w:eastAsia="方正仿宋_GBK"/>
          <w:sz w:val="32"/>
          <w:szCs w:val="32"/>
        </w:rPr>
        <w:t>统一配置和管理全区无线电频谱资源，依法监督管理无线电台（站），负责无线电电磁环境保护工作，负责无线电监测、检测和干扰查处，协调军地间和县际间无线电管理相关事宜，维护空中电波秩序，依法组织实施无线电管制。</w:t>
      </w:r>
    </w:p>
    <w:p>
      <w:pPr>
        <w:spacing w:line="578" w:lineRule="exact"/>
        <w:ind w:firstLine="640" w:firstLineChars="200"/>
        <w:rPr>
          <w:rFonts w:hint="eastAsia" w:eastAsia="方正仿宋_GBK"/>
          <w:sz w:val="32"/>
          <w:szCs w:val="32"/>
        </w:rPr>
      </w:pPr>
      <w:r>
        <w:rPr>
          <w:rFonts w:eastAsia="方正仿宋_GBK"/>
          <w:sz w:val="32"/>
          <w:szCs w:val="32"/>
        </w:rPr>
        <w:t>15.</w:t>
      </w:r>
      <w:r>
        <w:rPr>
          <w:rFonts w:hint="eastAsia" w:eastAsia="方正仿宋_GBK"/>
          <w:sz w:val="32"/>
          <w:szCs w:val="32"/>
        </w:rPr>
        <w:t>会同有关部门提出工业和信息化领域对外开放和利用外资的政策建议，参与区域经济合作和承接产业转移工作。指导工业和信息化企业开展对外交流与合作、国际化经营、境外投资及兼并重组。</w:t>
      </w:r>
    </w:p>
    <w:p>
      <w:pPr>
        <w:spacing w:line="578"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16.组织贯彻落实国家食盐专营政策和相关盐业法规规章，拟订全区有关盐业地方性法规、规章草案；依法查处食盐违法违规经营行为；负责组织编制全区盐行业发展规划，制定产业政策；指导和推动盐行业结构调整、技术进步；制定和组织实施食盐供应应急预案，落实食盐储备制度；会同有关部门建立食盐生产、批发企业及其负责人和高管人员信用记录，纳入国家统一的社会信用体系，对有违法失信行为的企业及高管依法实施联合惩戒；负责食盐电子追溯体系建设，指导工业盐生产经营企业建立生产、销售记录制度，协同相关部门依法查处无标识或标识不清的盐产品；配合物价管理部门做好食盐零售价格市场监测和特殊情况下的价格干预工作，保持食盐价格基本稳定；配合卫生计生部门做好碘缺乏病防治监测与宣传工作；负责盐业行业的统计、分析，监测盐行业经济运行态势，协调处理行业发展中的重大问题。</w:t>
      </w:r>
    </w:p>
    <w:p>
      <w:pPr>
        <w:spacing w:line="578"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lang w:val="en-US" w:eastAsia="zh-CN"/>
        </w:rPr>
        <w:t>7</w:t>
      </w:r>
      <w:r>
        <w:rPr>
          <w:rFonts w:eastAsia="方正仿宋_GBK"/>
          <w:sz w:val="32"/>
          <w:szCs w:val="32"/>
        </w:rPr>
        <w:t>.</w:t>
      </w:r>
      <w:r>
        <w:rPr>
          <w:rFonts w:hint="eastAsia" w:eastAsia="方正仿宋_GBK"/>
          <w:sz w:val="32"/>
          <w:szCs w:val="32"/>
        </w:rPr>
        <w:t>指导和管理达川区手工业联合社工作。</w:t>
      </w:r>
    </w:p>
    <w:p>
      <w:pPr>
        <w:spacing w:line="578" w:lineRule="exact"/>
        <w:ind w:firstLine="640" w:firstLineChars="200"/>
        <w:rPr>
          <w:rFonts w:hint="eastAsia" w:eastAsia="方正仿宋_GBK"/>
          <w:sz w:val="32"/>
          <w:szCs w:val="32"/>
        </w:rPr>
      </w:pPr>
      <w:r>
        <w:rPr>
          <w:rFonts w:eastAsia="方正仿宋_GBK"/>
          <w:sz w:val="32"/>
          <w:szCs w:val="32"/>
        </w:rPr>
        <w:t>1</w:t>
      </w:r>
      <w:r>
        <w:rPr>
          <w:rFonts w:hint="eastAsia" w:eastAsia="方正仿宋_GBK"/>
          <w:sz w:val="32"/>
          <w:szCs w:val="32"/>
          <w:lang w:val="en-US" w:eastAsia="zh-CN"/>
        </w:rPr>
        <w:t>8</w:t>
      </w:r>
      <w:r>
        <w:rPr>
          <w:rFonts w:eastAsia="方正仿宋_GBK"/>
          <w:sz w:val="32"/>
          <w:szCs w:val="32"/>
        </w:rPr>
        <w:t>.</w:t>
      </w:r>
      <w:r>
        <w:rPr>
          <w:rFonts w:hint="eastAsia" w:eastAsia="方正仿宋_GBK"/>
          <w:sz w:val="32"/>
          <w:szCs w:val="32"/>
        </w:rPr>
        <w:t>承担区政府公布的有关行政审批事项。</w:t>
      </w:r>
    </w:p>
    <w:p>
      <w:pPr>
        <w:spacing w:line="578" w:lineRule="exact"/>
        <w:ind w:firstLine="640" w:firstLineChars="200"/>
        <w:rPr>
          <w:rFonts w:hint="eastAsia" w:ascii="仿宋" w:hAnsi="仿宋" w:eastAsia="仿宋"/>
          <w:bCs/>
          <w:color w:val="000000"/>
          <w:sz w:val="32"/>
          <w:szCs w:val="32"/>
        </w:rPr>
      </w:pPr>
      <w:r>
        <w:rPr>
          <w:rFonts w:hint="eastAsia" w:eastAsia="方正仿宋_GBK"/>
          <w:sz w:val="32"/>
          <w:szCs w:val="32"/>
        </w:rPr>
        <w:t>1</w:t>
      </w:r>
      <w:r>
        <w:rPr>
          <w:rFonts w:hint="eastAsia" w:eastAsia="方正仿宋_GBK"/>
          <w:sz w:val="32"/>
          <w:szCs w:val="32"/>
          <w:lang w:val="en-US" w:eastAsia="zh-CN"/>
        </w:rPr>
        <w:t>9</w:t>
      </w:r>
      <w:r>
        <w:rPr>
          <w:rFonts w:hint="eastAsia" w:eastAsia="方正仿宋_GBK"/>
          <w:sz w:val="32"/>
          <w:szCs w:val="32"/>
        </w:rPr>
        <w:t>.承办区政府交办的其他事项。</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1.</w:t>
      </w:r>
      <w:r>
        <w:rPr>
          <w:rFonts w:hint="eastAsia" w:ascii="方正楷体简体" w:hAnsi="方正楷体简体" w:eastAsia="方正楷体简体" w:cs="方正楷体简体"/>
          <w:sz w:val="32"/>
          <w:szCs w:val="32"/>
        </w:rPr>
        <w:t>工业经济发展方面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rPr>
        <w:t>工业经济运行情况。2018年1-1</w:t>
      </w:r>
      <w:r>
        <w:rPr>
          <w:rFonts w:hint="eastAsia" w:eastAsia="方正仿宋简体" w:cs="Times New Roman"/>
          <w:sz w:val="32"/>
          <w:szCs w:val="32"/>
          <w:lang w:val="en-US" w:eastAsia="zh-CN"/>
        </w:rPr>
        <w:t>2</w:t>
      </w:r>
      <w:r>
        <w:rPr>
          <w:rFonts w:hint="default" w:ascii="Times New Roman" w:hAnsi="Times New Roman" w:eastAsia="方正仿宋简体" w:cs="Times New Roman"/>
          <w:sz w:val="32"/>
          <w:szCs w:val="32"/>
        </w:rPr>
        <w:t>月，规模以上工业企业增加值累计增速达到</w:t>
      </w:r>
      <w:r>
        <w:rPr>
          <w:rFonts w:hint="eastAsia" w:eastAsia="方正仿宋简体" w:cs="Times New Roman"/>
          <w:sz w:val="32"/>
          <w:szCs w:val="32"/>
          <w:lang w:val="en-US" w:eastAsia="zh-CN"/>
        </w:rPr>
        <w:t>10.4</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rPr>
        <w:t>项目投资完成情况。</w:t>
      </w:r>
      <w:r>
        <w:rPr>
          <w:rFonts w:hint="eastAsia" w:ascii="Times New Roman" w:hAnsi="Times New Roman" w:eastAsia="方正仿宋简体" w:cs="Times New Roman"/>
          <w:sz w:val="32"/>
          <w:szCs w:val="32"/>
          <w:lang w:val="en-US" w:eastAsia="zh-CN"/>
        </w:rPr>
        <w:t>1-1</w:t>
      </w:r>
      <w:r>
        <w:rPr>
          <w:rFonts w:hint="eastAsia"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rPr>
        <w:t>工业投入完成</w:t>
      </w:r>
      <w:r>
        <w:rPr>
          <w:rFonts w:hint="eastAsia" w:eastAsia="方正仿宋简体" w:cs="Times New Roman"/>
          <w:sz w:val="32"/>
          <w:szCs w:val="32"/>
          <w:lang w:val="en-US" w:eastAsia="zh-CN"/>
        </w:rPr>
        <w:t>17.45</w:t>
      </w:r>
      <w:r>
        <w:rPr>
          <w:rFonts w:hint="default" w:ascii="Times New Roman" w:hAnsi="Times New Roman" w:eastAsia="方正仿宋简体" w:cs="Times New Roman"/>
          <w:sz w:val="32"/>
          <w:szCs w:val="32"/>
        </w:rPr>
        <w:t>亿元，同比增长</w:t>
      </w:r>
      <w:r>
        <w:rPr>
          <w:rFonts w:hint="eastAsia" w:ascii="Times New Roman" w:hAnsi="Times New Roman" w:eastAsia="方正仿宋简体" w:cs="Times New Roman"/>
          <w:sz w:val="32"/>
          <w:szCs w:val="32"/>
          <w:lang w:val="en-US" w:eastAsia="zh-CN"/>
        </w:rPr>
        <w:t>-</w:t>
      </w:r>
      <w:r>
        <w:rPr>
          <w:rFonts w:hint="eastAsia" w:eastAsia="方正仿宋简体" w:cs="Times New Roman"/>
          <w:sz w:val="32"/>
          <w:szCs w:val="32"/>
          <w:lang w:val="en-US" w:eastAsia="zh-CN"/>
        </w:rPr>
        <w:t>7.5</w:t>
      </w:r>
      <w:r>
        <w:rPr>
          <w:rFonts w:hint="default" w:ascii="Times New Roman" w:hAnsi="Times New Roman" w:eastAsia="方正仿宋简体" w:cs="Times New Roman"/>
          <w:sz w:val="32"/>
          <w:szCs w:val="32"/>
        </w:rPr>
        <w:t>%；技改投入</w:t>
      </w:r>
      <w:r>
        <w:rPr>
          <w:rFonts w:hint="eastAsia" w:eastAsia="方正仿宋简体" w:cs="Times New Roman"/>
          <w:sz w:val="32"/>
          <w:szCs w:val="32"/>
          <w:lang w:val="en-US" w:eastAsia="zh-CN"/>
        </w:rPr>
        <w:t>14.71</w:t>
      </w:r>
      <w:r>
        <w:rPr>
          <w:rFonts w:hint="default" w:ascii="Times New Roman" w:hAnsi="Times New Roman" w:eastAsia="方正仿宋简体" w:cs="Times New Roman"/>
          <w:sz w:val="32"/>
          <w:szCs w:val="32"/>
        </w:rPr>
        <w:t>亿元，同比增长-</w:t>
      </w:r>
      <w:r>
        <w:rPr>
          <w:rFonts w:hint="eastAsia" w:eastAsia="方正仿宋简体" w:cs="Times New Roman"/>
          <w:sz w:val="32"/>
          <w:szCs w:val="32"/>
          <w:lang w:val="en-US" w:eastAsia="zh-CN"/>
        </w:rPr>
        <w:t>7</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；三是</w:t>
      </w:r>
      <w:r>
        <w:rPr>
          <w:rFonts w:hint="default" w:ascii="Times New Roman" w:hAnsi="Times New Roman" w:eastAsia="方正仿宋简体" w:cs="Times New Roman"/>
          <w:sz w:val="32"/>
          <w:szCs w:val="32"/>
        </w:rPr>
        <w:t>项目建设情况。新开工投资2000万元以上工业项目4个，竣工投产项目有3个。</w:t>
      </w:r>
      <w:bookmarkStart w:id="76" w:name="_GoBack"/>
      <w:bookmarkEnd w:id="76"/>
      <w:r>
        <w:rPr>
          <w:rFonts w:hint="eastAsia" w:ascii="Times New Roman" w:hAnsi="Times New Roman" w:eastAsia="方正仿宋简体" w:cs="Times New Roman"/>
          <w:sz w:val="32"/>
          <w:szCs w:val="32"/>
          <w:lang w:eastAsia="zh-CN"/>
        </w:rPr>
        <w:t>四是</w:t>
      </w:r>
      <w:r>
        <w:rPr>
          <w:rFonts w:hint="default" w:ascii="Times New Roman" w:hAnsi="Times New Roman" w:eastAsia="方正仿宋简体" w:cs="Times New Roman"/>
          <w:sz w:val="32"/>
          <w:szCs w:val="32"/>
        </w:rPr>
        <w:t>企业培育升规工作。2018年新增规上企业8家。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2.</w:t>
      </w:r>
      <w:r>
        <w:rPr>
          <w:rFonts w:hint="default" w:ascii="方正楷体简体" w:hAnsi="方正楷体简体" w:eastAsia="方正楷体简体" w:cs="方正楷体简体"/>
          <w:sz w:val="32"/>
          <w:szCs w:val="32"/>
        </w:rPr>
        <w:t>电力、通信工作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rPr>
        <w:t>电力建设及线路迁建工作</w:t>
      </w:r>
      <w:r>
        <w:rPr>
          <w:rFonts w:hint="eastAsia" w:ascii="Times New Roman" w:hAnsi="Times New Roman" w:eastAsia="方正仿宋简体" w:cs="Times New Roman"/>
          <w:sz w:val="32"/>
          <w:szCs w:val="32"/>
          <w:lang w:eastAsia="zh-CN"/>
        </w:rPr>
        <w:t>方面，</w:t>
      </w:r>
      <w:r>
        <w:rPr>
          <w:rFonts w:hint="default" w:ascii="Times New Roman" w:hAnsi="Times New Roman" w:eastAsia="方正仿宋简体" w:cs="Times New Roman"/>
          <w:sz w:val="32"/>
          <w:szCs w:val="32"/>
        </w:rPr>
        <w:t>完成了营达高速</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达开快速</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旅游环线</w:t>
      </w:r>
      <w:r>
        <w:rPr>
          <w:rFonts w:hint="eastAsia" w:ascii="Times New Roman" w:hAnsi="Times New Roman" w:eastAsia="方正仿宋简体" w:cs="Times New Roman"/>
          <w:sz w:val="32"/>
          <w:szCs w:val="32"/>
          <w:lang w:eastAsia="zh-CN"/>
        </w:rPr>
        <w:t>的</w:t>
      </w:r>
      <w:r>
        <w:rPr>
          <w:rFonts w:hint="default" w:ascii="Times New Roman" w:hAnsi="Times New Roman" w:eastAsia="方正仿宋简体" w:cs="Times New Roman"/>
          <w:sz w:val="32"/>
          <w:szCs w:val="32"/>
        </w:rPr>
        <w:t>杆管线迁改协调工作</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完成了辖区内农村道路升级改造的杆管线迁改协调工作。</w:t>
      </w:r>
      <w:r>
        <w:rPr>
          <w:rFonts w:hint="eastAsia"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rPr>
        <w:t>电力行政执法</w:t>
      </w:r>
      <w:r>
        <w:rPr>
          <w:rFonts w:hint="eastAsia" w:ascii="Times New Roman" w:hAnsi="Times New Roman" w:eastAsia="方正仿宋简体" w:cs="Times New Roman"/>
          <w:sz w:val="32"/>
          <w:szCs w:val="32"/>
          <w:lang w:eastAsia="zh-CN"/>
        </w:rPr>
        <w:t>方面</w:t>
      </w:r>
      <w:r>
        <w:rPr>
          <w:rFonts w:hint="default" w:ascii="Times New Roman" w:hAnsi="Times New Roman" w:eastAsia="方正仿宋简体" w:cs="Times New Roman"/>
          <w:sz w:val="32"/>
          <w:szCs w:val="32"/>
        </w:rPr>
        <w:t>。加大了对电力法律法规宣传普力度</w:t>
      </w:r>
      <w:r>
        <w:rPr>
          <w:rFonts w:hint="eastAsia" w:ascii="Times New Roman" w:hAnsi="Times New Roman" w:eastAsia="方正仿宋简体" w:cs="Times New Roman"/>
          <w:sz w:val="32"/>
          <w:szCs w:val="32"/>
          <w:lang w:eastAsia="zh-CN"/>
        </w:rPr>
        <w:t>和</w:t>
      </w:r>
      <w:r>
        <w:rPr>
          <w:rFonts w:hint="default" w:ascii="Times New Roman" w:hAnsi="Times New Roman" w:eastAsia="方正仿宋简体" w:cs="Times New Roman"/>
          <w:sz w:val="32"/>
          <w:szCs w:val="32"/>
        </w:rPr>
        <w:t>用电安全的检查力度。</w:t>
      </w:r>
      <w:r>
        <w:rPr>
          <w:rFonts w:hint="eastAsia" w:ascii="Times New Roman" w:hAnsi="Times New Roman" w:eastAsia="方正仿宋简体" w:cs="Times New Roman"/>
          <w:sz w:val="32"/>
          <w:szCs w:val="32"/>
          <w:lang w:eastAsia="zh-CN"/>
        </w:rPr>
        <w:t>配合</w:t>
      </w:r>
      <w:r>
        <w:rPr>
          <w:rFonts w:hint="default" w:ascii="Times New Roman" w:hAnsi="Times New Roman" w:eastAsia="方正仿宋简体" w:cs="Times New Roman"/>
          <w:sz w:val="32"/>
          <w:szCs w:val="32"/>
        </w:rPr>
        <w:t xml:space="preserve">全区“散乱污”企业及非煤矿山、砖瓦厂等的停电申请，保障了“散乱污”企业整治工作的顺利进行。 </w:t>
      </w:r>
      <w:r>
        <w:rPr>
          <w:rFonts w:hint="eastAsia" w:ascii="Times New Roman" w:hAnsi="Times New Roman" w:eastAsia="方正仿宋简体" w:cs="Times New Roman"/>
          <w:sz w:val="32"/>
          <w:szCs w:val="32"/>
          <w:lang w:eastAsia="zh-CN"/>
        </w:rPr>
        <w:t>三是</w:t>
      </w:r>
      <w:r>
        <w:rPr>
          <w:rFonts w:hint="default" w:ascii="Times New Roman" w:hAnsi="Times New Roman" w:eastAsia="方正仿宋简体" w:cs="Times New Roman"/>
          <w:sz w:val="32"/>
          <w:szCs w:val="32"/>
        </w:rPr>
        <w:t xml:space="preserve">通信工作。持续完善农村通信基础设施，提升农村通信网络覆盖质量。电信普遍服务（第三批）184个试点行政村中，涉及我区73个的行政村，目前进展顺利，年底可顺利完成。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3.</w:t>
      </w:r>
      <w:r>
        <w:rPr>
          <w:rFonts w:hint="default" w:ascii="方正楷体简体" w:hAnsi="方正楷体简体" w:eastAsia="方正楷体简体" w:cs="方正楷体简体"/>
          <w:sz w:val="32"/>
          <w:szCs w:val="32"/>
        </w:rPr>
        <w:t>安全生产工作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是与辖区内重点行业、重点企业签署了安全生产责任书，并要求企业层层落实责任，将责任落实到人；二是对辖区内加油站、电力行业、规上企业进行了全面的安全生产大检查，并建立了安全隐患台账；三是到多家企业开展了安全知识讲座，对企业值班、应急预案和物质储备等方面提出了具体要求，加强了对安全的宣传和指导；四是召集我区规上工业企业、电力通信企业等召开了消防安全专题会，要求企业进行自查自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4.</w:t>
      </w:r>
      <w:r>
        <w:rPr>
          <w:rFonts w:hint="default" w:ascii="方正楷体简体" w:hAnsi="方正楷体简体" w:eastAsia="方正楷体简体" w:cs="方正楷体简体"/>
          <w:sz w:val="32"/>
          <w:szCs w:val="32"/>
        </w:rPr>
        <w:t>脱贫攻坚工作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rPr>
        <w:t>贫困村帮扶工作。我局高度重视对金垭镇金鱼村的帮扶工作，将帮扶工作列入重要的议事日程</w:t>
      </w:r>
      <w:r>
        <w:rPr>
          <w:rFonts w:hint="eastAsia" w:ascii="Times New Roman" w:hAnsi="Times New Roman" w:eastAsia="方正仿宋简体" w:cs="Times New Roman"/>
          <w:sz w:val="32"/>
          <w:szCs w:val="32"/>
          <w:lang w:eastAsia="zh-CN"/>
        </w:rPr>
        <w:t>，顺利通过各级督查</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二是</w:t>
      </w:r>
      <w:r>
        <w:rPr>
          <w:rFonts w:hint="default" w:ascii="Times New Roman" w:hAnsi="Times New Roman" w:eastAsia="方正仿宋简体" w:cs="Times New Roman"/>
          <w:sz w:val="32"/>
          <w:szCs w:val="32"/>
        </w:rPr>
        <w:t>专项扶贫工作。工业产业扶贫方面，积极推动农产品深加工相关项目建设，</w:t>
      </w:r>
      <w:r>
        <w:rPr>
          <w:rFonts w:hint="eastAsia" w:ascii="Times New Roman" w:hAnsi="Times New Roman" w:eastAsia="方正仿宋简体" w:cs="Times New Roman"/>
          <w:sz w:val="32"/>
          <w:szCs w:val="32"/>
          <w:lang w:eastAsia="zh-CN"/>
        </w:rPr>
        <w:t>并</w:t>
      </w:r>
      <w:r>
        <w:rPr>
          <w:rFonts w:hint="default" w:ascii="Times New Roman" w:hAnsi="Times New Roman" w:eastAsia="方正仿宋简体" w:cs="Times New Roman"/>
          <w:sz w:val="32"/>
          <w:szCs w:val="32"/>
        </w:rPr>
        <w:t>积极鼓励工业企业在贫困村建车间、建分厂，以就近解决贫困户就业</w:t>
      </w:r>
      <w:r>
        <w:rPr>
          <w:rFonts w:hint="eastAsia" w:ascii="Times New Roman" w:hAnsi="Times New Roman" w:eastAsia="方正仿宋简体" w:cs="Times New Roman"/>
          <w:sz w:val="32"/>
          <w:szCs w:val="32"/>
          <w:lang w:eastAsia="zh-CN"/>
        </w:rPr>
        <w:t>增加贫困户收入</w:t>
      </w:r>
      <w:r>
        <w:rPr>
          <w:rFonts w:hint="default" w:ascii="Times New Roman" w:hAnsi="Times New Roman" w:eastAsia="方正仿宋简体" w:cs="Times New Roman"/>
          <w:sz w:val="32"/>
          <w:szCs w:val="32"/>
        </w:rPr>
        <w:t>；电力扶贫方面，积极改善农村电网，解决了部分农村用电难的问题；通信扶贫方面，实地走访全区各村落，了解通信信号情况，其后根据了解的情况进行任务分解，每家公司负责一个片区，新建通信基站等基础设施，保证通信信号无缝覆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lang w:val="en-US" w:eastAsia="zh-CN"/>
        </w:rPr>
        <w:t>5.</w:t>
      </w:r>
      <w:r>
        <w:rPr>
          <w:rFonts w:hint="default" w:ascii="方正楷体简体" w:hAnsi="方正楷体简体" w:eastAsia="方正楷体简体" w:cs="方正楷体简体"/>
          <w:sz w:val="32"/>
          <w:szCs w:val="32"/>
        </w:rPr>
        <w:t>节能及环保工作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bCs/>
          <w:color w:val="000000"/>
          <w:sz w:val="32"/>
          <w:szCs w:val="32"/>
        </w:rPr>
      </w:pPr>
      <w:r>
        <w:rPr>
          <w:rFonts w:hint="default" w:ascii="Times New Roman" w:hAnsi="Times New Roman" w:eastAsia="方正仿宋简体" w:cs="Times New Roman"/>
          <w:sz w:val="32"/>
          <w:szCs w:val="32"/>
        </w:rPr>
        <w:t>一是持续推进工业领域节能减排工作，确保完成工业万元增加值节水节能目标；二是落后产能淘汰方面，市上任务的国威水泥已完成淘汰，砖瓦厂淘汰方面我局</w:t>
      </w:r>
      <w:r>
        <w:rPr>
          <w:rFonts w:hint="default" w:ascii="Times New Roman" w:hAnsi="Times New Roman" w:eastAsia="方正仿宋简体" w:cs="Times New Roman"/>
          <w:sz w:val="32"/>
          <w:szCs w:val="32"/>
          <w:lang w:eastAsia="zh-CN"/>
        </w:rPr>
        <w:t>已</w:t>
      </w:r>
      <w:r>
        <w:rPr>
          <w:rFonts w:hint="default" w:ascii="Times New Roman" w:hAnsi="Times New Roman" w:eastAsia="方正仿宋简体" w:cs="Times New Roman"/>
          <w:sz w:val="32"/>
          <w:szCs w:val="32"/>
        </w:rPr>
        <w:t>配合国土局</w:t>
      </w:r>
      <w:r>
        <w:rPr>
          <w:rFonts w:hint="default" w:ascii="Times New Roman" w:hAnsi="Times New Roman" w:eastAsia="方正仿宋简体" w:cs="Times New Roman"/>
          <w:sz w:val="32"/>
          <w:szCs w:val="32"/>
          <w:lang w:eastAsia="zh-CN"/>
        </w:rPr>
        <w:t>完成</w:t>
      </w:r>
      <w:r>
        <w:rPr>
          <w:rFonts w:hint="default" w:ascii="Times New Roman" w:hAnsi="Times New Roman" w:eastAsia="方正仿宋简体" w:cs="Times New Roman"/>
          <w:sz w:val="32"/>
          <w:szCs w:val="32"/>
        </w:rPr>
        <w:t>淘汰工作；三是协助食药局</w:t>
      </w:r>
      <w:r>
        <w:rPr>
          <w:rFonts w:hint="default" w:ascii="Times New Roman" w:hAnsi="Times New Roman" w:eastAsia="方正仿宋简体" w:cs="Times New Roman"/>
          <w:sz w:val="32"/>
          <w:szCs w:val="32"/>
          <w:lang w:eastAsia="zh-CN"/>
        </w:rPr>
        <w:t>等部门</w:t>
      </w:r>
      <w:r>
        <w:rPr>
          <w:rFonts w:hint="default" w:ascii="Times New Roman" w:hAnsi="Times New Roman" w:eastAsia="方正仿宋简体" w:cs="Times New Roman"/>
          <w:sz w:val="32"/>
          <w:szCs w:val="32"/>
        </w:rPr>
        <w:t>做好了燃煤锅炉淘汰</w:t>
      </w:r>
      <w:r>
        <w:rPr>
          <w:rFonts w:hint="default" w:ascii="Times New Roman" w:hAnsi="Times New Roman" w:eastAsia="方正仿宋简体" w:cs="Times New Roman"/>
          <w:sz w:val="32"/>
          <w:szCs w:val="32"/>
          <w:lang w:eastAsia="zh-CN"/>
        </w:rPr>
        <w:t>工作</w:t>
      </w:r>
      <w:r>
        <w:rPr>
          <w:rFonts w:hint="default" w:ascii="Times New Roman" w:hAnsi="Times New Roman" w:eastAsia="方正仿宋简体" w:cs="Times New Roman"/>
          <w:sz w:val="32"/>
          <w:szCs w:val="32"/>
        </w:rPr>
        <w:t>；四是鼓励企业实施节能环保改造升级，加快企业能源管理信息系统建设，推动规上企业实现环保稳定达标，全行业污染物排放总体稳步下降</w:t>
      </w:r>
      <w:r>
        <w:rPr>
          <w:rFonts w:hint="eastAsia" w:ascii="Times New Roman" w:hAnsi="Times New Roman" w:eastAsia="方正仿宋简体" w:cs="Times New Roman"/>
          <w:sz w:val="32"/>
          <w:szCs w:val="32"/>
          <w:lang w:eastAsia="zh-CN"/>
        </w:rPr>
        <w:t>。</w:t>
      </w:r>
    </w:p>
    <w:p>
      <w:pPr>
        <w:pStyle w:val="3"/>
        <w:rPr>
          <w:rStyle w:val="2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0"/>
      <w:bookmarkEnd w:id="21"/>
    </w:p>
    <w:p>
      <w:pPr>
        <w:rPr>
          <w:rFonts w:ascii="仿宋" w:hAnsi="仿宋" w:eastAsia="仿宋"/>
          <w:sz w:val="32"/>
          <w:szCs w:val="32"/>
        </w:rPr>
      </w:pPr>
      <w:r>
        <w:rPr>
          <w:rFonts w:hint="eastAsia" w:ascii="仿宋" w:hAnsi="仿宋" w:eastAsia="仿宋"/>
          <w:sz w:val="32"/>
          <w:szCs w:val="32"/>
          <w:lang w:eastAsia="zh-CN"/>
        </w:rPr>
        <w:t>　　</w:t>
      </w:r>
      <w:r>
        <w:rPr>
          <w:rFonts w:hint="eastAsia" w:eastAsia="方正仿宋简体"/>
          <w:sz w:val="32"/>
          <w:szCs w:val="32"/>
        </w:rPr>
        <w:t>经信局为</w:t>
      </w:r>
      <w:r>
        <w:rPr>
          <w:rFonts w:hint="eastAsia" w:eastAsia="方正仿宋简体"/>
          <w:sz w:val="32"/>
          <w:szCs w:val="32"/>
          <w:lang w:eastAsia="zh-CN"/>
        </w:rPr>
        <w:t>独立核算的</w:t>
      </w:r>
      <w:r>
        <w:rPr>
          <w:rFonts w:hint="eastAsia" w:eastAsia="方正仿宋简体"/>
          <w:sz w:val="32"/>
          <w:szCs w:val="32"/>
        </w:rPr>
        <w:t>一级预算单位，单位性质为行政单位</w:t>
      </w:r>
      <w:r>
        <w:rPr>
          <w:rFonts w:hint="eastAsia" w:eastAsia="方正仿宋简体"/>
          <w:sz w:val="32"/>
          <w:szCs w:val="32"/>
          <w:lang w:eastAsia="zh-CN"/>
        </w:rPr>
        <w:t>。</w:t>
      </w:r>
      <w:r>
        <w:rPr>
          <w:rFonts w:hint="eastAsia" w:ascii="仿宋" w:hAnsi="仿宋" w:eastAsia="仿宋"/>
          <w:sz w:val="32"/>
          <w:szCs w:val="32"/>
          <w:lang w:eastAsia="zh-CN"/>
        </w:rPr>
        <w:t>区经信局</w:t>
      </w:r>
      <w:r>
        <w:rPr>
          <w:rFonts w:hint="eastAsia" w:ascii="仿宋" w:hAnsi="仿宋" w:eastAsia="仿宋"/>
          <w:sz w:val="32"/>
          <w:szCs w:val="32"/>
        </w:rPr>
        <w:t>下属二级单位</w:t>
      </w:r>
      <w:r>
        <w:rPr>
          <w:rFonts w:hint="eastAsia" w:ascii="仿宋" w:hAnsi="仿宋" w:eastAsia="仿宋"/>
          <w:sz w:val="32"/>
          <w:szCs w:val="32"/>
          <w:lang w:val="en-US" w:eastAsia="zh-CN"/>
        </w:rPr>
        <w:t>2</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2</w:t>
      </w:r>
      <w:r>
        <w:rPr>
          <w:rFonts w:hint="eastAsia" w:ascii="仿宋" w:hAnsi="仿宋" w:eastAsia="仿宋"/>
          <w:sz w:val="32"/>
          <w:szCs w:val="32"/>
        </w:rPr>
        <w:t>个</w:t>
      </w:r>
      <w:r>
        <w:rPr>
          <w:rFonts w:hint="eastAsia" w:ascii="仿宋" w:hAnsi="仿宋" w:eastAsia="仿宋"/>
          <w:sz w:val="32"/>
          <w:szCs w:val="32"/>
          <w:lang w:eastAsia="zh-CN"/>
        </w:rPr>
        <w:t>，分别为电力行政执法大队和中小微企业服务中心，以上两个事业单位均未进行独立核算</w:t>
      </w:r>
      <w:r>
        <w:rPr>
          <w:rFonts w:hint="eastAsia" w:ascii="仿宋" w:hAnsi="仿宋" w:eastAsia="仿宋"/>
          <w:sz w:val="32"/>
          <w:szCs w:val="32"/>
        </w:rPr>
        <w:t>。</w:t>
      </w:r>
    </w:p>
    <w:p>
      <w:pPr>
        <w:widowControl/>
        <w:jc w:val="center"/>
        <w:rPr>
          <w:rStyle w:val="24"/>
          <w:rFonts w:hint="eastAsia" w:ascii="黑体" w:hAnsi="黑体" w:eastAsia="黑体"/>
          <w:b w:val="0"/>
          <w:bCs w:val="0"/>
        </w:rPr>
      </w:pPr>
      <w:bookmarkStart w:id="22" w:name="_Toc15377204"/>
      <w:bookmarkStart w:id="23" w:name="_Toc15396602"/>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hint="eastAsia" w:ascii="黑体" w:hAnsi="黑体" w:eastAsia="黑体"/>
          <w:b w:val="0"/>
          <w:bCs w:val="0"/>
        </w:rPr>
      </w:pPr>
    </w:p>
    <w:p>
      <w:pPr>
        <w:widowControl/>
        <w:jc w:val="center"/>
        <w:rPr>
          <w:rStyle w:val="24"/>
          <w:rFonts w:ascii="黑体" w:hAnsi="黑体" w:eastAsia="黑体"/>
          <w:b w:val="0"/>
          <w:bCs w:val="0"/>
        </w:rPr>
      </w:pPr>
      <w:r>
        <w:rPr>
          <w:rStyle w:val="24"/>
          <w:rFonts w:hint="eastAsia" w:ascii="黑体" w:hAnsi="黑体" w:eastAsia="黑体"/>
          <w:b w:val="0"/>
          <w:bCs w:val="0"/>
        </w:rPr>
        <w:t>第二部分 2018年度部门决算情况说明</w:t>
      </w:r>
      <w:bookmarkEnd w:id="22"/>
      <w:bookmarkEnd w:id="23"/>
    </w:p>
    <w:p/>
    <w:p>
      <w:pPr>
        <w:pStyle w:val="23"/>
        <w:numPr>
          <w:ilvl w:val="0"/>
          <w:numId w:val="1"/>
        </w:numPr>
        <w:spacing w:line="600" w:lineRule="exact"/>
        <w:ind w:firstLineChars="0"/>
        <w:outlineLvl w:val="1"/>
        <w:rPr>
          <w:rStyle w:val="25"/>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rPr>
        <w:t>2018年度收、支总计</w:t>
      </w:r>
      <w:r>
        <w:rPr>
          <w:rFonts w:hint="eastAsia" w:ascii="仿宋" w:hAnsi="仿宋" w:eastAsia="仿宋"/>
          <w:color w:val="000000"/>
          <w:sz w:val="32"/>
          <w:szCs w:val="32"/>
          <w:lang w:val="en-US" w:eastAsia="zh-CN"/>
        </w:rPr>
        <w:t>2203.05</w:t>
      </w:r>
      <w:r>
        <w:rPr>
          <w:rFonts w:hint="eastAsia" w:ascii="仿宋" w:hAnsi="仿宋" w:eastAsia="仿宋"/>
          <w:color w:val="000000"/>
          <w:sz w:val="32"/>
          <w:szCs w:val="32"/>
        </w:rPr>
        <w:t>万元。与2017年相比，收、支总计各增加</w:t>
      </w:r>
      <w:r>
        <w:rPr>
          <w:rFonts w:hint="eastAsia" w:ascii="仿宋" w:hAnsi="仿宋" w:eastAsia="仿宋"/>
          <w:color w:val="000000"/>
          <w:sz w:val="32"/>
          <w:szCs w:val="32"/>
          <w:lang w:val="en-US" w:eastAsia="zh-CN"/>
        </w:rPr>
        <w:t>381.9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工业发展资金增加。</w:t>
      </w:r>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themeColor="text1"/>
          <w:sz w:val="32"/>
          <w:szCs w:val="32"/>
          <w14:textFill>
            <w14:solidFill>
              <w14:schemeClr w14:val="tx1"/>
            </w14:solidFill>
          </w14:textFill>
        </w:rPr>
        <w:drawing>
          <wp:anchor distT="0" distB="0" distL="0" distR="0" simplePos="0" relativeHeight="251658240" behindDoc="0" locked="0" layoutInCell="1" allowOverlap="1">
            <wp:simplePos x="0" y="0"/>
            <wp:positionH relativeFrom="column">
              <wp:posOffset>442595</wp:posOffset>
            </wp:positionH>
            <wp:positionV relativeFrom="paragraph">
              <wp:posOffset>125095</wp:posOffset>
            </wp:positionV>
            <wp:extent cx="3790950" cy="2990850"/>
            <wp:effectExtent l="4445" t="4445" r="1460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pStyle w:val="23"/>
        <w:numPr>
          <w:ilvl w:val="0"/>
          <w:numId w:val="1"/>
        </w:numPr>
        <w:spacing w:line="600" w:lineRule="exact"/>
        <w:ind w:firstLineChars="0"/>
        <w:outlineLvl w:val="1"/>
        <w:rPr>
          <w:rStyle w:val="25"/>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6"/>
      <w:bookmarkEnd w:id="27"/>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hint="eastAsia" w:ascii="仿宋" w:hAnsi="仿宋" w:eastAsia="仿宋"/>
          <w:color w:val="000000"/>
          <w:sz w:val="32"/>
          <w:szCs w:val="32"/>
          <w:lang w:val="en-US" w:eastAsia="zh-CN"/>
        </w:rPr>
        <w:t>1611.82</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1017.41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63.12</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594.41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36.88</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p>
    <w:p>
      <w:pPr>
        <w:spacing w:line="600" w:lineRule="exact"/>
        <w:ind w:firstLine="640" w:firstLineChars="200"/>
        <w:outlineLvl w:val="1"/>
        <w:rPr>
          <w:rFonts w:hint="eastAsia" w:ascii="仿宋" w:hAnsi="仿宋" w:eastAsia="仿宋"/>
          <w:color w:val="000000"/>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0" distR="0" simplePos="0" relativeHeight="251659264" behindDoc="0" locked="0" layoutInCell="1" allowOverlap="1">
            <wp:simplePos x="0" y="0"/>
            <wp:positionH relativeFrom="column">
              <wp:posOffset>410845</wp:posOffset>
            </wp:positionH>
            <wp:positionV relativeFrom="paragraph">
              <wp:posOffset>-2395855</wp:posOffset>
            </wp:positionV>
            <wp:extent cx="3819525" cy="2695575"/>
            <wp:effectExtent l="4445" t="4445" r="508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hint="eastAsia" w:ascii="仿宋" w:hAnsi="仿宋" w:eastAsia="仿宋"/>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8"/>
      <w:bookmarkEnd w:id="29"/>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hint="eastAsia" w:ascii="仿宋" w:hAnsi="仿宋" w:eastAsia="仿宋"/>
          <w:color w:val="000000"/>
          <w:sz w:val="32"/>
          <w:szCs w:val="32"/>
          <w:lang w:val="en-US" w:eastAsia="zh-CN"/>
        </w:rPr>
        <w:t>1619.21</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526.21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32.50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1093.00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67.50</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r>
        <w:rPr>
          <w:rFonts w:ascii="仿宋" w:hAnsi="仿宋" w:eastAsia="仿宋"/>
          <w:color w:val="000000" w:themeColor="text1"/>
          <w:sz w:val="32"/>
          <w:szCs w:val="32"/>
          <w14:textFill>
            <w14:solidFill>
              <w14:schemeClr w14:val="tx1"/>
            </w14:solidFill>
          </w14:textFill>
        </w:rPr>
        <w:drawing>
          <wp:anchor distT="0" distB="0" distL="0" distR="0" simplePos="0" relativeHeight="251660288" behindDoc="0" locked="0" layoutInCell="1" allowOverlap="1">
            <wp:simplePos x="0" y="0"/>
            <wp:positionH relativeFrom="column">
              <wp:posOffset>410845</wp:posOffset>
            </wp:positionH>
            <wp:positionV relativeFrom="paragraph">
              <wp:posOffset>-2433320</wp:posOffset>
            </wp:positionV>
            <wp:extent cx="3952875" cy="2733675"/>
            <wp:effectExtent l="4445" t="5080" r="5080" b="444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hint="eastAsia" w:ascii="仿宋" w:hAnsi="仿宋" w:eastAsia="仿宋"/>
          <w:color w:val="000000"/>
          <w:sz w:val="32"/>
          <w:szCs w:val="32"/>
          <w:lang w:val="en-US" w:eastAsia="zh-CN"/>
        </w:rPr>
        <w:t>2203.05</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hint="eastAsia" w:ascii="仿宋" w:hAnsi="仿宋" w:eastAsia="仿宋"/>
          <w:color w:val="000000"/>
          <w:sz w:val="32"/>
          <w:szCs w:val="32"/>
          <w:lang w:val="en-US" w:eastAsia="zh-CN"/>
        </w:rPr>
        <w:t>381.9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20.97</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工业发展资金增加。</w:t>
      </w:r>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themeColor="text1"/>
          <w:sz w:val="32"/>
          <w:szCs w:val="32"/>
          <w14:textFill>
            <w14:solidFill>
              <w14:schemeClr w14:val="tx1"/>
            </w14:solidFill>
          </w14:textFill>
        </w:rPr>
        <w:drawing>
          <wp:anchor distT="0" distB="0" distL="0" distR="0" simplePos="0" relativeHeight="251661312" behindDoc="0" locked="0" layoutInCell="1" allowOverlap="1">
            <wp:simplePos x="0" y="0"/>
            <wp:positionH relativeFrom="column">
              <wp:posOffset>410845</wp:posOffset>
            </wp:positionH>
            <wp:positionV relativeFrom="paragraph">
              <wp:posOffset>71755</wp:posOffset>
            </wp:positionV>
            <wp:extent cx="3771900" cy="2876550"/>
            <wp:effectExtent l="4445" t="5080" r="14605"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outlineLvl w:val="1"/>
        <w:rPr>
          <w:rFonts w:hint="eastAsia" w:ascii="黑体" w:hAnsi="黑体" w:eastAsia="黑体"/>
          <w:color w:val="000000"/>
          <w:sz w:val="32"/>
          <w:szCs w:val="32"/>
        </w:rPr>
      </w:pPr>
      <w:bookmarkStart w:id="32" w:name="_Toc15396607"/>
      <w:bookmarkStart w:id="33" w:name="_Toc15377209"/>
    </w:p>
    <w:p>
      <w:pPr>
        <w:spacing w:line="600" w:lineRule="exact"/>
        <w:ind w:firstLine="640" w:firstLineChars="200"/>
        <w:outlineLvl w:val="1"/>
        <w:rPr>
          <w:rStyle w:val="25"/>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hint="eastAsia" w:ascii="仿宋" w:hAnsi="仿宋" w:eastAsia="仿宋"/>
          <w:color w:val="000000"/>
          <w:sz w:val="32"/>
          <w:szCs w:val="32"/>
          <w:lang w:val="en-US" w:eastAsia="zh-CN"/>
        </w:rPr>
        <w:t>1102.31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68.08</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hint="eastAsia" w:ascii="仿宋" w:hAnsi="仿宋" w:eastAsia="仿宋"/>
          <w:color w:val="000000"/>
          <w:sz w:val="32"/>
          <w:szCs w:val="32"/>
          <w:lang w:val="en-US" w:eastAsia="zh-CN"/>
        </w:rPr>
        <w:t>203.56</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22.65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工业发展资金增加。</w:t>
      </w:r>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themeColor="text1"/>
          <w:sz w:val="32"/>
          <w:szCs w:val="32"/>
          <w14:textFill>
            <w14:solidFill>
              <w14:schemeClr w14:val="tx1"/>
            </w14:solidFill>
          </w14:textFill>
        </w:rPr>
        <w:drawing>
          <wp:anchor distT="0" distB="0" distL="0" distR="0" simplePos="0" relativeHeight="251662336" behindDoc="0" locked="0" layoutInCell="1" allowOverlap="1">
            <wp:simplePos x="0" y="0"/>
            <wp:positionH relativeFrom="column">
              <wp:posOffset>648970</wp:posOffset>
            </wp:positionH>
            <wp:positionV relativeFrom="paragraph">
              <wp:posOffset>119380</wp:posOffset>
            </wp:positionV>
            <wp:extent cx="4305300" cy="2581275"/>
            <wp:effectExtent l="4445" t="4445" r="14605" b="508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lang w:eastAsia="zh-CN"/>
        </w:rPr>
      </w:pPr>
    </w:p>
    <w:p>
      <w:pPr>
        <w:spacing w:line="600" w:lineRule="exact"/>
        <w:ind w:firstLine="643" w:firstLineChars="200"/>
        <w:outlineLvl w:val="2"/>
        <w:rPr>
          <w:rFonts w:hint="eastAsia" w:ascii="仿宋" w:hAnsi="仿宋" w:eastAsia="仿宋"/>
          <w:b/>
          <w:color w:val="000000"/>
          <w:sz w:val="32"/>
          <w:szCs w:val="32"/>
        </w:rPr>
      </w:pPr>
      <w:bookmarkStart w:id="35" w:name="_Toc15377211"/>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1102.31</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634.15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57.53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48.68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4.42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w:t>
      </w:r>
      <w:r>
        <w:rPr>
          <w:rFonts w:hint="eastAsia" w:ascii="仿宋" w:hAnsi="仿宋" w:eastAsia="仿宋"/>
          <w:b/>
          <w:color w:val="000000" w:themeColor="text1"/>
          <w:sz w:val="32"/>
          <w:szCs w:val="32"/>
          <w:lang w:eastAsia="zh-CN"/>
          <w14:textFill>
            <w14:solidFill>
              <w14:schemeClr w14:val="tx1"/>
            </w14:solidFill>
          </w14:textFill>
        </w:rPr>
        <w:t>与计划生育（类）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26.29</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资源勘探信息等（类）</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361.91万元，占32.83%；</w:t>
      </w:r>
      <w:r>
        <w:rPr>
          <w:rFonts w:hint="eastAsia" w:ascii="仿宋" w:hAnsi="仿宋" w:eastAsia="仿宋"/>
          <w:b/>
          <w:color w:val="000000" w:themeColor="text1"/>
          <w:sz w:val="32"/>
          <w:szCs w:val="32"/>
          <w:lang w:eastAsia="zh-CN"/>
          <w14:textFill>
            <w14:solidFill>
              <w14:schemeClr w14:val="tx1"/>
            </w14:solidFill>
          </w14:textFill>
        </w:rPr>
        <w:t>住房保障（类）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31.28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2.84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0"/>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drawing>
          <wp:anchor distT="0" distB="0" distL="0" distR="0" simplePos="0" relativeHeight="251663360" behindDoc="0" locked="0" layoutInCell="1" allowOverlap="1">
            <wp:simplePos x="0" y="0"/>
            <wp:positionH relativeFrom="column">
              <wp:posOffset>306070</wp:posOffset>
            </wp:positionH>
            <wp:positionV relativeFrom="paragraph">
              <wp:posOffset>71120</wp:posOffset>
            </wp:positionV>
            <wp:extent cx="4791075" cy="3343275"/>
            <wp:effectExtent l="4445" t="4445" r="5080" b="50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0"/>
        <w:rPr>
          <w:rFonts w:hint="eastAsia"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hint="eastAsia" w:ascii="仿宋" w:hAnsi="仿宋" w:eastAsia="仿宋"/>
          <w:b/>
          <w:color w:val="000000"/>
          <w:sz w:val="32"/>
          <w:szCs w:val="32"/>
        </w:rPr>
      </w:pPr>
      <w:bookmarkStart w:id="36" w:name="_Toc15377212"/>
    </w:p>
    <w:p>
      <w:pPr>
        <w:spacing w:line="600" w:lineRule="exact"/>
        <w:ind w:firstLine="643" w:firstLineChars="200"/>
        <w:outlineLvl w:val="2"/>
        <w:rPr>
          <w:rFonts w:hint="eastAsia" w:ascii="仿宋" w:hAnsi="仿宋" w:eastAsia="仿宋"/>
          <w:b/>
          <w:color w:val="000000"/>
          <w:sz w:val="32"/>
          <w:szCs w:val="32"/>
        </w:rPr>
      </w:pPr>
    </w:p>
    <w:p>
      <w:pPr>
        <w:spacing w:line="600" w:lineRule="exact"/>
        <w:ind w:firstLine="643" w:firstLineChars="200"/>
        <w:outlineLvl w:val="2"/>
        <w:rPr>
          <w:rFonts w:hint="eastAsia" w:ascii="仿宋" w:hAnsi="仿宋" w:eastAsia="仿宋"/>
          <w:b/>
          <w:color w:val="000000"/>
          <w:sz w:val="32"/>
          <w:szCs w:val="32"/>
        </w:rPr>
      </w:pPr>
    </w:p>
    <w:p>
      <w:pPr>
        <w:spacing w:line="600" w:lineRule="exact"/>
        <w:outlineLvl w:val="2"/>
        <w:rPr>
          <w:rFonts w:hint="eastAsia" w:ascii="仿宋" w:hAnsi="仿宋" w:eastAsia="仿宋"/>
          <w:b/>
          <w:color w:val="000000"/>
          <w:sz w:val="32"/>
          <w:szCs w:val="32"/>
        </w:rPr>
      </w:pPr>
    </w:p>
    <w:p>
      <w:pPr>
        <w:spacing w:line="600" w:lineRule="exact"/>
        <w:outlineLvl w:val="2"/>
        <w:rPr>
          <w:rFonts w:ascii="仿宋" w:hAnsi="仿宋" w:eastAsia="仿宋"/>
          <w:b/>
          <w:color w:val="000000"/>
          <w:sz w:val="32"/>
          <w:szCs w:val="32"/>
        </w:rPr>
      </w:pPr>
      <w:r>
        <w:rPr>
          <w:rFonts w:hint="eastAsia" w:ascii="仿宋" w:hAnsi="仿宋" w:eastAsia="仿宋"/>
          <w:b/>
          <w:color w:val="000000"/>
          <w:sz w:val="32"/>
          <w:szCs w:val="32"/>
          <w:lang w:eastAsia="zh-CN"/>
        </w:rPr>
        <w:t>　　</w:t>
      </w:r>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2018年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1102.31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Fonts w:hint="eastAsia" w:ascii="仿宋" w:hAnsi="仿宋" w:eastAsia="仿宋"/>
          <w:b/>
          <w:color w:val="000000" w:themeColor="text1"/>
          <w:sz w:val="32"/>
          <w:szCs w:val="32"/>
          <w:lang w:val="en-US" w:eastAsia="zh-CN"/>
          <w14:textFill>
            <w14:solidFill>
              <w14:schemeClr w14:val="tx1"/>
            </w14:solidFill>
          </w14:textFill>
        </w:rPr>
        <w:t>78.35</w:t>
      </w:r>
      <w:r>
        <w:rPr>
          <w:rFonts w:hint="eastAsia" w:ascii="仿宋" w:hAnsi="仿宋" w:eastAsia="仿宋"/>
          <w:b/>
          <w:color w:val="000000" w:themeColor="text1"/>
          <w:sz w:val="32"/>
          <w:szCs w:val="32"/>
          <w14:textFill>
            <w14:solidFill>
              <w14:schemeClr w14:val="tx1"/>
            </w14:solidFill>
          </w14:textFill>
        </w:rPr>
        <w:t>%。其中</w:t>
      </w:r>
      <w:r>
        <w:rPr>
          <w:rStyle w:val="14"/>
          <w:rFonts w:hint="eastAsia" w:ascii="仿宋" w:hAnsi="仿宋" w:eastAsia="仿宋"/>
          <w:bCs/>
          <w:color w:val="000000"/>
          <w:sz w:val="32"/>
          <w:szCs w:val="32"/>
        </w:rPr>
        <w:t>：</w:t>
      </w:r>
      <w:bookmarkEnd w:id="37"/>
      <w:bookmarkEnd w:id="38"/>
      <w:bookmarkEnd w:id="39"/>
    </w:p>
    <w:p>
      <w:pPr>
        <w:spacing w:line="600" w:lineRule="exact"/>
        <w:ind w:firstLine="643" w:firstLineChars="200"/>
        <w:rPr>
          <w:rStyle w:val="14"/>
          <w:rFonts w:hint="eastAsia" w:ascii="仿宋" w:hAnsi="仿宋" w:eastAsia="仿宋"/>
          <w:b w:val="0"/>
          <w:bCs/>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政府办公厅（室）及相关机构事务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418.96</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2</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政府办公厅（室）及相关机构事务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一般行政管理事务</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214.19</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74.74</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lang w:eastAsia="zh-CN"/>
        </w:rPr>
        <w:t>决算数小于预算数的主要原因是停产国有企业安全隐患整改资金未完全支付、工业经济激励政策奖励资金未完全支付</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3</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政府办公厅（室）及相关机构事务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其他政府办公厅（室）及相关机构事务支出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lang w:eastAsia="zh-CN"/>
        </w:rPr>
        <w:t>决算数小于预算数的主要原因是“宽带乡村”试点工程经费未拨付</w:t>
      </w:r>
      <w:r>
        <w:rPr>
          <w:rStyle w:val="14"/>
          <w:rFonts w:hint="eastAsia" w:ascii="仿宋" w:hAnsi="仿宋" w:eastAsia="仿宋"/>
          <w:b w:val="0"/>
          <w:bCs/>
          <w:color w:val="000000"/>
          <w:sz w:val="32"/>
          <w:szCs w:val="32"/>
        </w:rPr>
        <w:t>。</w:t>
      </w:r>
    </w:p>
    <w:p>
      <w:pPr>
        <w:spacing w:line="600" w:lineRule="exact"/>
        <w:ind w:firstLine="640"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4.</w:t>
      </w:r>
      <w:r>
        <w:rPr>
          <w:rStyle w:val="14"/>
          <w:rFonts w:hint="eastAsia" w:ascii="仿宋" w:hAnsi="仿宋" w:eastAsia="仿宋"/>
          <w:bCs/>
          <w:color w:val="000000"/>
          <w:sz w:val="32"/>
          <w:szCs w:val="32"/>
        </w:rPr>
        <w:t>一般公共服务（类）</w:t>
      </w:r>
      <w:r>
        <w:rPr>
          <w:rStyle w:val="14"/>
          <w:rFonts w:hint="eastAsia" w:ascii="仿宋" w:hAnsi="仿宋" w:eastAsia="仿宋"/>
          <w:bCs/>
          <w:color w:val="000000"/>
          <w:sz w:val="32"/>
          <w:szCs w:val="32"/>
          <w:lang w:eastAsia="zh-CN"/>
        </w:rPr>
        <w:t>发展与改革事务</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行政运行</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5</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机关事业单位离退休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机关事业单位基本养老保险缴费支出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40.43</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default" w:ascii="仿宋" w:hAnsi="仿宋" w:eastAsia="仿宋"/>
          <w:b w:val="0"/>
          <w:bCs/>
          <w:color w:val="000000"/>
          <w:sz w:val="32"/>
          <w:szCs w:val="32"/>
          <w:lang w:val="en-US" w:eastAsia="zh-CN"/>
        </w:rPr>
      </w:pPr>
      <w:r>
        <w:rPr>
          <w:rStyle w:val="14"/>
          <w:rFonts w:hint="eastAsia" w:ascii="仿宋" w:hAnsi="仿宋" w:eastAsia="仿宋"/>
          <w:b w:val="0"/>
          <w:bCs/>
          <w:color w:val="000000"/>
          <w:sz w:val="32"/>
          <w:szCs w:val="32"/>
          <w:lang w:val="en-US" w:eastAsia="zh-CN"/>
        </w:rPr>
        <w:t>6.</w:t>
      </w:r>
      <w:r>
        <w:rPr>
          <w:rStyle w:val="14"/>
          <w:rFonts w:hint="eastAsia" w:ascii="仿宋" w:hAnsi="仿宋" w:eastAsia="仿宋"/>
          <w:bCs/>
          <w:color w:val="000000"/>
          <w:sz w:val="32"/>
          <w:szCs w:val="32"/>
        </w:rPr>
        <w:t>社会保障和就业（类）</w:t>
      </w:r>
      <w:r>
        <w:rPr>
          <w:rStyle w:val="14"/>
          <w:rFonts w:hint="eastAsia" w:ascii="仿宋" w:hAnsi="仿宋" w:eastAsia="仿宋"/>
          <w:bCs/>
          <w:color w:val="000000"/>
          <w:sz w:val="32"/>
          <w:szCs w:val="32"/>
          <w:lang w:eastAsia="zh-CN"/>
        </w:rPr>
        <w:t>机关事业单位离退休</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机关事业单位职业年金缴费支出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8.25</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spacing w:line="60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7</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行政单位医疗</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14.08</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8.</w:t>
      </w:r>
      <w:r>
        <w:rPr>
          <w:rStyle w:val="14"/>
          <w:rFonts w:hint="eastAsia" w:ascii="仿宋" w:hAnsi="仿宋" w:eastAsia="仿宋"/>
          <w:bCs/>
          <w:color w:val="000000"/>
          <w:sz w:val="32"/>
          <w:szCs w:val="32"/>
        </w:rPr>
        <w:t>医疗卫生与计划生育（类）</w:t>
      </w:r>
      <w:r>
        <w:rPr>
          <w:rStyle w:val="14"/>
          <w:rFonts w:hint="eastAsia" w:ascii="仿宋" w:hAnsi="仿宋" w:eastAsia="仿宋"/>
          <w:bCs/>
          <w:color w:val="000000"/>
          <w:sz w:val="32"/>
          <w:szCs w:val="32"/>
          <w:lang w:eastAsia="zh-CN"/>
        </w:rPr>
        <w:t>行政事业单位医疗</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公务员医疗补助</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12.21</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8.</w:t>
      </w:r>
      <w:r>
        <w:rPr>
          <w:rStyle w:val="14"/>
          <w:rFonts w:hint="eastAsia" w:ascii="仿宋" w:hAnsi="仿宋" w:eastAsia="仿宋"/>
          <w:bCs/>
          <w:color w:val="000000"/>
          <w:sz w:val="32"/>
          <w:szCs w:val="32"/>
          <w:lang w:eastAsia="zh-CN"/>
        </w:rPr>
        <w:t>资源勘探信息等</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制造业</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其他制造业支出</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70</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46.67</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lang w:eastAsia="zh-CN"/>
        </w:rPr>
        <w:t>决算数小于预算数的主要原因是</w:t>
      </w:r>
      <w:r>
        <w:rPr>
          <w:rStyle w:val="14"/>
          <w:rFonts w:hint="eastAsia" w:ascii="仿宋_GB2312" w:eastAsia="仿宋_GB2312"/>
          <w:b w:val="0"/>
          <w:color w:val="000000"/>
          <w:sz w:val="32"/>
          <w:szCs w:val="32"/>
          <w:lang w:val="en-US" w:eastAsia="zh-CN"/>
        </w:rPr>
        <w:t>2018年第一批及第二批工业发展资金未完全支付</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9.</w:t>
      </w:r>
      <w:r>
        <w:rPr>
          <w:rStyle w:val="14"/>
          <w:rFonts w:hint="eastAsia" w:ascii="仿宋" w:hAnsi="仿宋" w:eastAsia="仿宋"/>
          <w:bCs/>
          <w:color w:val="000000"/>
          <w:sz w:val="32"/>
          <w:szCs w:val="32"/>
          <w:lang w:eastAsia="zh-CN"/>
        </w:rPr>
        <w:t>资源勘探信息等</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支持中小企业发展和管理</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中小企业发展专项</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197.24</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79.05</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lang w:eastAsia="zh-CN"/>
        </w:rPr>
        <w:t>决算数小于预算数的主要原因是</w:t>
      </w:r>
      <w:r>
        <w:rPr>
          <w:rStyle w:val="14"/>
          <w:rFonts w:hint="eastAsia" w:ascii="仿宋_GB2312" w:eastAsia="仿宋_GB2312"/>
          <w:b w:val="0"/>
          <w:color w:val="000000"/>
          <w:sz w:val="32"/>
          <w:szCs w:val="32"/>
          <w:lang w:val="en-US" w:eastAsia="zh-CN"/>
        </w:rPr>
        <w:t>工业发展资金未完全支付</w:t>
      </w:r>
      <w:r>
        <w:rPr>
          <w:rStyle w:val="14"/>
          <w:rFonts w:hint="eastAsia" w:ascii="仿宋" w:hAnsi="仿宋" w:eastAsia="仿宋"/>
          <w:b w:val="0"/>
          <w:bCs/>
          <w:color w:val="000000"/>
          <w:sz w:val="32"/>
          <w:szCs w:val="32"/>
        </w:rPr>
        <w:t>。</w:t>
      </w:r>
    </w:p>
    <w:p>
      <w:pPr>
        <w:spacing w:line="60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10.</w:t>
      </w:r>
      <w:r>
        <w:rPr>
          <w:rStyle w:val="14"/>
          <w:rFonts w:hint="eastAsia" w:ascii="仿宋" w:hAnsi="仿宋" w:eastAsia="仿宋"/>
          <w:bCs/>
          <w:color w:val="000000"/>
          <w:sz w:val="32"/>
          <w:szCs w:val="32"/>
          <w:lang w:eastAsia="zh-CN"/>
        </w:rPr>
        <w:t>资源勘探信息等</w:t>
      </w:r>
      <w:r>
        <w:rPr>
          <w:rStyle w:val="14"/>
          <w:rFonts w:hint="eastAsia" w:ascii="仿宋" w:hAnsi="仿宋" w:eastAsia="仿宋"/>
          <w:bCs/>
          <w:color w:val="000000"/>
          <w:sz w:val="32"/>
          <w:szCs w:val="32"/>
        </w:rPr>
        <w:t>（类）</w:t>
      </w:r>
      <w:r>
        <w:rPr>
          <w:rStyle w:val="14"/>
          <w:rFonts w:hint="eastAsia" w:ascii="仿宋" w:hAnsi="仿宋" w:eastAsia="仿宋"/>
          <w:bCs/>
          <w:color w:val="000000"/>
          <w:sz w:val="32"/>
          <w:szCs w:val="32"/>
          <w:lang w:eastAsia="zh-CN"/>
        </w:rPr>
        <w:t>支持中小企业发展和管理</w:t>
      </w:r>
      <w:r>
        <w:rPr>
          <w:rStyle w:val="14"/>
          <w:rFonts w:hint="eastAsia" w:ascii="仿宋" w:hAnsi="仿宋" w:eastAsia="仿宋"/>
          <w:bCs/>
          <w:color w:val="000000"/>
          <w:sz w:val="32"/>
          <w:szCs w:val="32"/>
        </w:rPr>
        <w:t>（款）</w:t>
      </w:r>
      <w:r>
        <w:rPr>
          <w:rStyle w:val="14"/>
          <w:rFonts w:hint="eastAsia" w:ascii="仿宋" w:hAnsi="仿宋" w:eastAsia="仿宋"/>
          <w:bCs/>
          <w:color w:val="000000"/>
          <w:sz w:val="32"/>
          <w:szCs w:val="32"/>
          <w:lang w:eastAsia="zh-CN"/>
        </w:rPr>
        <w:t>其他支持中小企业发展和管理</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hint="eastAsia" w:ascii="仿宋" w:hAnsi="仿宋" w:eastAsia="仿宋"/>
          <w:b w:val="0"/>
          <w:bCs/>
          <w:color w:val="000000"/>
          <w:sz w:val="32"/>
          <w:szCs w:val="32"/>
          <w:lang w:val="en-US" w:eastAsia="zh-CN"/>
        </w:rPr>
        <w:t>94.67</w:t>
      </w:r>
      <w:r>
        <w:rPr>
          <w:rStyle w:val="14"/>
          <w:rFonts w:hint="eastAsia" w:ascii="仿宋" w:hAnsi="仿宋" w:eastAsia="仿宋"/>
          <w:b w:val="0"/>
          <w:bCs/>
          <w:color w:val="000000"/>
          <w:sz w:val="32"/>
          <w:szCs w:val="32"/>
        </w:rPr>
        <w:t>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11.住房保障（类）住房改革支出（款）住房公积金（项）：</w:t>
      </w:r>
      <w:r>
        <w:rPr>
          <w:rStyle w:val="14"/>
          <w:rFonts w:hint="eastAsia" w:ascii="仿宋" w:hAnsi="仿宋" w:eastAsia="仿宋"/>
          <w:b w:val="0"/>
          <w:bCs/>
          <w:color w:val="000000"/>
          <w:sz w:val="32"/>
          <w:szCs w:val="32"/>
          <w:lang w:val="en-US" w:eastAsia="zh-CN"/>
        </w:rPr>
        <w:t>支出决算为31.28万元，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Style w:val="14"/>
          <w:rFonts w:hint="eastAsia" w:ascii="仿宋_GB2312" w:eastAsia="仿宋_GB2312"/>
          <w:b w:val="0"/>
          <w:color w:val="000000"/>
          <w:sz w:val="32"/>
          <w:szCs w:val="32"/>
        </w:rPr>
        <w:t>决算数与预算数持平</w:t>
      </w:r>
      <w:r>
        <w:rPr>
          <w:rStyle w:val="14"/>
          <w:rFonts w:hint="eastAsia" w:ascii="仿宋" w:hAnsi="仿宋" w:eastAsia="仿宋"/>
          <w:b w:val="0"/>
          <w:bCs/>
          <w:color w:val="000000"/>
          <w:sz w:val="32"/>
          <w:szCs w:val="32"/>
        </w:rPr>
        <w:t>。</w:t>
      </w:r>
    </w:p>
    <w:p>
      <w:pPr>
        <w:tabs>
          <w:tab w:val="right" w:pos="8306"/>
        </w:tabs>
        <w:spacing w:line="600" w:lineRule="exact"/>
        <w:ind w:firstLine="640"/>
        <w:outlineLvl w:val="1"/>
        <w:rPr>
          <w:rStyle w:val="2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0"/>
      <w:bookmarkEnd w:id="41"/>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hint="eastAsia" w:ascii="仿宋" w:hAnsi="仿宋" w:eastAsia="仿宋"/>
          <w:color w:val="000000"/>
          <w:sz w:val="32"/>
          <w:szCs w:val="32"/>
          <w:lang w:val="en-US" w:eastAsia="zh-CN"/>
        </w:rPr>
        <w:t>526.21</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460.81</w:t>
      </w:r>
      <w:r>
        <w:rPr>
          <w:rFonts w:hint="eastAsia" w:ascii="仿宋" w:hAnsi="仿宋" w:eastAsia="仿宋"/>
          <w:color w:val="000000"/>
          <w:sz w:val="32"/>
          <w:szCs w:val="32"/>
        </w:rPr>
        <w:t>万元，主要包括：基本工资、津贴补贴、奖金、伙食补助费、机关事业单位基本养老保险缴费、职业年金缴费、其他社会保障缴费、其他工资福利支出、抚恤金、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65.4</w:t>
      </w:r>
      <w:r>
        <w:rPr>
          <w:rFonts w:hint="eastAsia" w:ascii="仿宋" w:hAnsi="仿宋" w:eastAsia="仿宋"/>
          <w:color w:val="000000"/>
          <w:sz w:val="32"/>
          <w:szCs w:val="32"/>
        </w:rPr>
        <w:t>万元，主要包括：办公费、印刷费、手续费、邮电费、差旅费、维修（护）费、会议费、培训费、公务接待费、工会经费、公务用车运行维护费、其他交通费、税金及附加费用、其他商品和服务支出、办公设备购置、其他资本性支出等。</w:t>
      </w:r>
    </w:p>
    <w:p>
      <w:pPr>
        <w:spacing w:line="600" w:lineRule="exact"/>
        <w:ind w:firstLine="640"/>
        <w:outlineLvl w:val="1"/>
        <w:rPr>
          <w:rStyle w:val="25"/>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hint="eastAsia" w:ascii="仿宋" w:hAnsi="仿宋" w:eastAsia="仿宋"/>
          <w:color w:val="000000"/>
          <w:sz w:val="32"/>
          <w:szCs w:val="32"/>
          <w:lang w:val="en-US" w:eastAsia="zh-CN"/>
        </w:rPr>
        <w:t>1.40</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92.1</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厉行节约</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1.40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92.1</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drawing>
          <wp:anchor distT="0" distB="0" distL="0" distR="0" simplePos="0" relativeHeight="251664384" behindDoc="0" locked="0" layoutInCell="1" allowOverlap="1">
            <wp:simplePos x="0" y="0"/>
            <wp:positionH relativeFrom="column">
              <wp:posOffset>277495</wp:posOffset>
            </wp:positionH>
            <wp:positionV relativeFrom="paragraph">
              <wp:posOffset>17780</wp:posOffset>
            </wp:positionV>
            <wp:extent cx="4610100" cy="2943225"/>
            <wp:effectExtent l="4445" t="4445" r="14605" b="508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sz w:val="32"/>
          <w:szCs w:val="32"/>
          <w:lang w:eastAsia="zh-CN"/>
        </w:rPr>
        <w:t>与上年持平</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5.27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。主要原因是公务用车改革，单位</w:t>
      </w:r>
      <w:r>
        <w:rPr>
          <w:rFonts w:hint="eastAsia" w:ascii="仿宋_GB2312" w:eastAsia="仿宋_GB2312"/>
          <w:color w:val="000000"/>
          <w:sz w:val="32"/>
          <w:szCs w:val="32"/>
          <w:lang w:eastAsia="zh-CN"/>
        </w:rPr>
        <w:t>无公务用车</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1.40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92.1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w:t>
      </w:r>
      <w:r>
        <w:rPr>
          <w:rFonts w:hint="eastAsia" w:ascii="仿宋_GB2312" w:eastAsia="仿宋_GB2312"/>
          <w:color w:val="000000"/>
          <w:sz w:val="32"/>
          <w:szCs w:val="32"/>
          <w:lang w:val="en-US" w:eastAsia="zh-CN"/>
        </w:rPr>
        <w:t>0.14</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9.09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厉行节约</w:t>
      </w:r>
      <w:r>
        <w:rPr>
          <w:rFonts w:hint="eastAsia" w:ascii="仿宋_GB2312" w:eastAsia="仿宋_GB2312"/>
          <w:color w:val="000000"/>
          <w:sz w:val="32"/>
          <w:szCs w:val="32"/>
        </w:rPr>
        <w:t>。</w:t>
      </w:r>
    </w:p>
    <w:p>
      <w:pPr>
        <w:spacing w:line="600" w:lineRule="exact"/>
        <w:ind w:firstLine="64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主要用于执行公务、开展业务活动开支的交通费、住宿费、用餐费等。国内公务接待</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lang w:eastAsia="zh-CN"/>
        </w:rPr>
        <w:t>批次，</w:t>
      </w:r>
      <w:r>
        <w:rPr>
          <w:rFonts w:hint="eastAsia" w:ascii="仿宋_GB2312" w:eastAsia="仿宋_GB2312"/>
          <w:color w:val="000000"/>
          <w:sz w:val="32"/>
          <w:szCs w:val="32"/>
          <w:lang w:val="en-US" w:eastAsia="zh-CN"/>
        </w:rPr>
        <w:t>180</w:t>
      </w:r>
      <w:r>
        <w:rPr>
          <w:rFonts w:hint="eastAsia" w:ascii="仿宋_GB2312" w:eastAsia="仿宋_GB2312"/>
          <w:color w:val="000000"/>
          <w:sz w:val="32"/>
          <w:szCs w:val="32"/>
          <w:lang w:eastAsia="zh-CN"/>
        </w:rPr>
        <w:t>人次（不包括陪同人员），共计支出</w:t>
      </w:r>
      <w:r>
        <w:rPr>
          <w:rFonts w:hint="eastAsia" w:ascii="仿宋_GB2312" w:eastAsia="仿宋_GB2312"/>
          <w:color w:val="000000"/>
          <w:sz w:val="32"/>
          <w:szCs w:val="32"/>
          <w:lang w:val="en-US" w:eastAsia="zh-CN"/>
        </w:rPr>
        <w:t>1.4</w:t>
      </w:r>
      <w:r>
        <w:rPr>
          <w:rFonts w:hint="eastAsia" w:ascii="仿宋_GB2312" w:eastAsia="仿宋_GB2312"/>
          <w:color w:val="000000"/>
          <w:sz w:val="32"/>
          <w:szCs w:val="32"/>
          <w:lang w:eastAsia="zh-CN"/>
        </w:rPr>
        <w:t>万元，具体内容包括：小微企业开支</w:t>
      </w:r>
      <w:r>
        <w:rPr>
          <w:rFonts w:hint="eastAsia" w:ascii="仿宋_GB2312" w:eastAsia="仿宋_GB2312"/>
          <w:color w:val="000000"/>
          <w:sz w:val="32"/>
          <w:szCs w:val="32"/>
          <w:lang w:val="en-US" w:eastAsia="zh-CN"/>
        </w:rPr>
        <w:t>0.31万元，党建工作开支0.53万元，环保工作开支0.22万元，园区工作开支0.34万元。</w:t>
      </w:r>
    </w:p>
    <w:p>
      <w:pPr>
        <w:spacing w:line="600" w:lineRule="exact"/>
        <w:ind w:firstLine="643"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pPr>
        <w:spacing w:line="600" w:lineRule="exact"/>
        <w:ind w:firstLine="640"/>
        <w:rPr>
          <w:rFonts w:hint="eastAsia"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6" w:name="_Toc15377218"/>
      <w:bookmarkStart w:id="47" w:name="_Toc15396610"/>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w:t>
      </w:r>
      <w:r>
        <w:rPr>
          <w:rFonts w:hint="eastAsia" w:ascii="仿宋_GB2312" w:eastAsia="仿宋_GB2312"/>
          <w:color w:val="000000"/>
          <w:sz w:val="32"/>
          <w:szCs w:val="32"/>
          <w:lang w:val="en-US" w:eastAsia="zh-CN"/>
        </w:rPr>
        <w:t>516.9</w:t>
      </w:r>
      <w:r>
        <w:rPr>
          <w:rFonts w:hint="eastAsia" w:ascii="仿宋_GB2312" w:eastAsia="仿宋_GB2312"/>
          <w:color w:val="000000"/>
          <w:sz w:val="32"/>
          <w:szCs w:val="32"/>
        </w:rPr>
        <w:t>万元。</w:t>
      </w:r>
    </w:p>
    <w:p>
      <w:pPr>
        <w:numPr>
          <w:ilvl w:val="0"/>
          <w:numId w:val="2"/>
        </w:numPr>
        <w:spacing w:line="600" w:lineRule="exact"/>
        <w:ind w:firstLine="640"/>
        <w:outlineLvl w:val="1"/>
        <w:rPr>
          <w:rStyle w:val="25"/>
          <w:rFonts w:ascii="黑体" w:hAnsi="黑体" w:eastAsia="黑体"/>
          <w:b w:val="0"/>
        </w:rPr>
      </w:pPr>
      <w:bookmarkStart w:id="48" w:name="_Toc15377219"/>
      <w:bookmarkStart w:id="49" w:name="_Toc15396611"/>
      <w:r>
        <w:rPr>
          <w:rStyle w:val="2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23"/>
        <w:numPr>
          <w:ilvl w:val="0"/>
          <w:numId w:val="3"/>
        </w:numPr>
        <w:spacing w:line="580" w:lineRule="exact"/>
        <w:ind w:firstLineChars="0"/>
        <w:rPr>
          <w:rStyle w:val="25"/>
          <w:rFonts w:ascii="黑体" w:hAnsi="黑体" w:eastAsia="黑体"/>
          <w:b w:val="0"/>
        </w:rPr>
      </w:pPr>
      <w:r>
        <w:rPr>
          <w:rStyle w:val="25"/>
          <w:rFonts w:hint="eastAsia" w:ascii="黑体" w:hAnsi="黑体" w:eastAsia="黑体"/>
          <w:b w:val="0"/>
        </w:rPr>
        <w:t>预算绩效情况说明</w:t>
      </w:r>
    </w:p>
    <w:p>
      <w:pPr>
        <w:numPr>
          <w:ilvl w:val="0"/>
          <w:numId w:val="0"/>
        </w:numPr>
        <w:spacing w:line="580" w:lineRule="exact"/>
        <w:rPr>
          <w:rFonts w:ascii="仿宋_GB2312" w:hAnsi="仿宋_GB2312" w:eastAsia="仿宋_GB2312" w:cs="仿宋_GB2312"/>
          <w:sz w:val="32"/>
          <w:szCs w:val="32"/>
        </w:rPr>
      </w:pPr>
      <w:r>
        <w:rPr>
          <w:rFonts w:hint="eastAsia" w:ascii="仿宋" w:hAnsi="仿宋" w:eastAsia="仿宋" w:cs="楷体_GB2312"/>
          <w:b/>
          <w:bCs/>
          <w:sz w:val="32"/>
          <w:szCs w:val="32"/>
          <w:lang w:eastAsia="zh-CN"/>
        </w:rPr>
        <w:t>　　（一）</w:t>
      </w: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根据预算绩效管理要求，本部门在年初预算编制阶段，组织对</w:t>
      </w:r>
      <w:r>
        <w:rPr>
          <w:rFonts w:hint="eastAsia" w:ascii="仿宋_GB2312" w:hAnsi="仿宋_GB2312" w:eastAsia="仿宋_GB2312" w:cs="仿宋_GB2312"/>
          <w:sz w:val="32"/>
          <w:szCs w:val="32"/>
          <w:lang w:val="en-US" w:eastAsia="zh-CN"/>
        </w:rPr>
        <w:t>2018年四川省中小企业发展专项（完善服务体系）</w:t>
      </w:r>
      <w:r>
        <w:rPr>
          <w:rFonts w:hint="eastAsia" w:ascii="仿宋_GB2312" w:hAnsi="仿宋_GB2312" w:eastAsia="仿宋_GB2312" w:cs="仿宋_GB2312"/>
          <w:sz w:val="32"/>
          <w:szCs w:val="32"/>
        </w:rPr>
        <w:t>项目开展了预算事前绩效评估，对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本部门按要求对2018年部门整体支出开展绩效自评，从评价情况来看全年</w:t>
      </w:r>
      <w:r>
        <w:rPr>
          <w:rFonts w:ascii="仿宋_GB2312" w:hAnsi="仿宋_GB2312" w:eastAsia="仿宋_GB2312" w:cs="仿宋_GB2312"/>
          <w:sz w:val="32"/>
          <w:szCs w:val="32"/>
        </w:rPr>
        <w:t>预算基本合理，预算支出严格按照年初预算指标计划要求进行</w:t>
      </w:r>
      <w:r>
        <w:rPr>
          <w:rFonts w:hint="eastAsia" w:ascii="仿宋_GB2312" w:hAnsi="仿宋_GB2312" w:eastAsia="仿宋_GB2312" w:cs="仿宋_GB2312"/>
          <w:sz w:val="32"/>
          <w:szCs w:val="32"/>
        </w:rPr>
        <w:t>开</w:t>
      </w:r>
      <w:r>
        <w:rPr>
          <w:rFonts w:ascii="仿宋_GB2312" w:hAnsi="仿宋_GB2312" w:eastAsia="仿宋_GB2312" w:cs="仿宋_GB2312"/>
          <w:sz w:val="32"/>
          <w:szCs w:val="32"/>
        </w:rPr>
        <w:t>展各项业务工作，顺利完成全年各项目标</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任务。</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个项目绩效评价，从评价情况来看项目任务</w:t>
      </w:r>
      <w:r>
        <w:rPr>
          <w:rFonts w:ascii="仿宋_GB2312" w:hAnsi="仿宋_GB2312" w:eastAsia="仿宋_GB2312" w:cs="仿宋_GB2312"/>
          <w:sz w:val="32"/>
          <w:szCs w:val="32"/>
        </w:rPr>
        <w:t>工作达到预期。</w:t>
      </w:r>
    </w:p>
    <w:p>
      <w:pPr>
        <w:numPr>
          <w:ilvl w:val="0"/>
          <w:numId w:val="0"/>
        </w:numPr>
        <w:spacing w:line="580" w:lineRule="exact"/>
        <w:rPr>
          <w:rFonts w:hint="eastAsia" w:ascii="仿宋_GB2312" w:hAnsi="仿宋_GB2312" w:eastAsia="仿宋_GB2312" w:cs="仿宋_GB2312"/>
          <w:sz w:val="32"/>
          <w:szCs w:val="32"/>
        </w:rPr>
      </w:pPr>
      <w:r>
        <w:rPr>
          <w:rFonts w:hint="eastAsia" w:ascii="仿宋" w:hAnsi="仿宋" w:eastAsia="仿宋" w:cs="楷体_GB2312"/>
          <w:b/>
          <w:bCs/>
          <w:sz w:val="32"/>
          <w:szCs w:val="32"/>
          <w:lang w:eastAsia="zh-CN"/>
        </w:rPr>
        <w:t>　　（二）</w:t>
      </w:r>
      <w:r>
        <w:rPr>
          <w:rFonts w:hint="eastAsia" w:ascii="仿宋" w:hAnsi="仿宋" w:eastAsia="仿宋" w:cs="楷体_GB2312"/>
          <w:b/>
          <w:bCs/>
          <w:sz w:val="32"/>
          <w:szCs w:val="32"/>
        </w:rPr>
        <w:t>项目绩效目标完成情况。</w:t>
      </w:r>
      <w:r>
        <w:rPr>
          <w:rFonts w:hint="eastAsia" w:ascii="仿宋_GB2312" w:hAnsi="仿宋_GB2312" w:eastAsia="仿宋_GB2312" w:cs="仿宋_GB2312"/>
          <w:sz w:val="32"/>
          <w:szCs w:val="32"/>
        </w:rPr>
        <w:t xml:space="preserve"> </w:t>
      </w:r>
    </w:p>
    <w:p>
      <w:pPr>
        <w:numPr>
          <w:ilvl w:val="0"/>
          <w:numId w:val="0"/>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本部门在2018年度部门决算中反映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2018年四川省中小企业发展专项（完善服务体系）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个项目绩效目标实际完成情况。</w:t>
      </w:r>
    </w:p>
    <w:p>
      <w:pPr>
        <w:numPr>
          <w:ilvl w:val="0"/>
          <w:numId w:val="0"/>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2018年四川省中小企业发展专项（完善服务体系）</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2016年11月至2017年10月期间，客户对公司服务的满意度达98%，经估算，主要服务对象企业利税增长率达4.5%，主营业务收入增长率22.5%，社会贡献率达65%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少数企业对专业化服务水平不太满意</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提高专业化服务水平</w:t>
      </w:r>
      <w:r>
        <w:rPr>
          <w:rFonts w:ascii="仿宋_GB2312" w:hAnsi="仿宋_GB2312" w:eastAsia="仿宋_GB2312" w:cs="仿宋_GB2312"/>
          <w:sz w:val="32"/>
          <w:szCs w:val="32"/>
        </w:rPr>
        <w:t>。</w:t>
      </w:r>
    </w:p>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rPr>
          <w:rFonts w:hint="eastAsia" w:ascii="仿宋_GB2312" w:hAnsi="仿宋_GB2312" w:eastAsia="仿宋_GB2312" w:cs="仿宋_GB2312"/>
          <w:sz w:val="32"/>
          <w:szCs w:val="32"/>
        </w:rPr>
      </w:pPr>
    </w:p>
    <w:p>
      <w:pPr>
        <w:numPr>
          <w:ilvl w:val="0"/>
          <w:numId w:val="0"/>
        </w:numPr>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0" w:leftChars="0" w:firstLine="0" w:firstLineChars="0"/>
              <w:jc w:val="center"/>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2018年四川省中小企业发展专项（完善服务体系）</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达州市达川区经济和信息化局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25</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公司共为462家中小微企业提供咨询服务。服务满意度达到98%。</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实际运营成本</w:t>
            </w:r>
            <w:r>
              <w:rPr>
                <w:rFonts w:hint="eastAsia" w:ascii="宋体" w:hAnsi="宋体" w:cs="宋体"/>
                <w:color w:val="000000"/>
                <w:sz w:val="24"/>
                <w:lang w:val="en-US" w:eastAsia="zh-CN"/>
              </w:rPr>
              <w:t>209.09万元，服务企业数量462户，服务中小微企业数量462户，服务满意度98%以上。</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中小微企业提供咨询服务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共为</w:t>
            </w:r>
            <w:r>
              <w:rPr>
                <w:rFonts w:hint="eastAsia" w:ascii="宋体" w:hAnsi="宋体" w:cs="宋体"/>
                <w:color w:val="000000"/>
                <w:sz w:val="24"/>
                <w:lang w:val="en-US" w:eastAsia="zh-CN"/>
              </w:rPr>
              <w:t>426家中小微企业提供咨询服务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共为</w:t>
            </w:r>
            <w:r>
              <w:rPr>
                <w:rFonts w:hint="eastAsia" w:ascii="宋体" w:hAnsi="宋体" w:cs="宋体"/>
                <w:color w:val="000000"/>
                <w:sz w:val="24"/>
                <w:lang w:val="en-US" w:eastAsia="zh-CN"/>
              </w:rPr>
              <w:t>426家中小微企业提供了咨询服务</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2016年11月至2017年10月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1年</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主要服务对象企业利税增长</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主要服务对象企业利税增长率达4.5%，主要营业收入增长率22.5%，社会贡献率达65%。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主要服务对象企业利税增长率达4.5%，主要营业收入增长率22.5%，社会贡献率达65%。</w:t>
            </w: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p>
            <w:pPr>
              <w:widowControl/>
              <w:jc w:val="center"/>
              <w:textAlignment w:val="center"/>
              <w:rPr>
                <w:rFonts w:hint="eastAsia" w:ascii="宋体" w:hAnsi="宋体" w:cs="宋体"/>
                <w:color w:val="000000"/>
                <w:kern w:val="0"/>
                <w:sz w:val="24"/>
                <w:lang w:eastAsia="zh-CN" w:bidi="ar"/>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default" w:ascii="Arial" w:hAnsi="Arial" w:eastAsia="宋体" w:cs="Arial"/>
                <w:color w:val="000000"/>
                <w:sz w:val="24"/>
              </w:rPr>
              <w:t>≥</w:t>
            </w:r>
            <w:r>
              <w:rPr>
                <w:rFonts w:hint="eastAsia" w:ascii="Arial" w:hAnsi="Arial" w:cs="Arial"/>
                <w:color w:val="000000"/>
                <w:sz w:val="24"/>
                <w:lang w:val="en-US" w:eastAsia="zh-CN"/>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default" w:ascii="Arial" w:hAnsi="Arial" w:eastAsia="宋体" w:cs="Arial"/>
                <w:color w:val="000000"/>
                <w:sz w:val="24"/>
              </w:rPr>
              <w:t>≥</w:t>
            </w:r>
            <w:r>
              <w:rPr>
                <w:rFonts w:hint="eastAsia" w:ascii="Arial" w:hAnsi="Arial" w:cs="Arial"/>
                <w:color w:val="000000"/>
                <w:sz w:val="24"/>
                <w:lang w:val="en-US" w:eastAsia="zh-CN"/>
              </w:rPr>
              <w:t>98%</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0"/>
        </w:numPr>
        <w:spacing w:line="580" w:lineRule="exact"/>
        <w:rPr>
          <w:rFonts w:ascii="仿宋" w:hAnsi="仿宋" w:eastAsia="仿宋" w:cs="仿宋_GB2312"/>
          <w:sz w:val="32"/>
          <w:szCs w:val="32"/>
        </w:rPr>
      </w:pPr>
      <w:r>
        <w:rPr>
          <w:rFonts w:hint="eastAsia" w:ascii="仿宋" w:hAnsi="仿宋" w:eastAsia="仿宋" w:cs="楷体_GB2312"/>
          <w:b/>
          <w:bCs/>
          <w:sz w:val="32"/>
          <w:szCs w:val="32"/>
          <w:lang w:eastAsia="zh-CN"/>
        </w:rPr>
        <w:t>　　（三）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bookmarkStart w:id="50" w:name="_Toc15377221"/>
      <w:bookmarkStart w:id="51" w:name="_Toc15396612"/>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达州市达川区经济和信息化局</w:t>
      </w:r>
      <w:r>
        <w:rPr>
          <w:rFonts w:hint="eastAsia" w:ascii="仿宋_GB2312" w:hAnsi="仿宋_GB2312" w:eastAsia="仿宋_GB2312" w:cs="仿宋_GB2312"/>
          <w:sz w:val="32"/>
          <w:szCs w:val="32"/>
        </w:rPr>
        <w:t>2018年部门整体支出绩效评价报告》见附件。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2018年四川省中小企业发展专项（完善服务体系）</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val="en-US" w:eastAsia="zh-CN"/>
        </w:rPr>
        <w:t>2018年四川省中小企业发展专项（完善服务体系）</w:t>
      </w:r>
      <w:r>
        <w:rPr>
          <w:rFonts w:hint="eastAsia" w:ascii="仿宋_GB2312" w:hAnsi="仿宋_GB2312" w:eastAsia="仿宋_GB2312" w:cs="仿宋_GB2312"/>
          <w:sz w:val="32"/>
          <w:szCs w:val="32"/>
        </w:rPr>
        <w:t>项目2018年绩效评价报告》见附件。</w:t>
      </w:r>
    </w:p>
    <w:p>
      <w:pPr>
        <w:spacing w:line="600" w:lineRule="exact"/>
        <w:ind w:firstLine="800" w:firstLineChars="250"/>
        <w:outlineLvl w:val="1"/>
        <w:rPr>
          <w:rStyle w:val="25"/>
          <w:rFonts w:ascii="黑体" w:hAnsi="黑体" w:eastAsia="黑体"/>
        </w:rPr>
      </w:pPr>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达川区经信局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65.40</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w:t>
      </w:r>
      <w:r>
        <w:rPr>
          <w:rFonts w:hint="eastAsia" w:ascii="仿宋_GB2312" w:eastAsia="仿宋_GB2312"/>
          <w:color w:val="000000"/>
          <w:sz w:val="32"/>
          <w:szCs w:val="32"/>
          <w:lang w:val="en-US" w:eastAsia="zh-CN"/>
        </w:rPr>
        <w:t>41.12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169.36</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因公车改革，单位无公务用车租车费用增加。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w:t>
      </w:r>
      <w:r>
        <w:rPr>
          <w:rFonts w:hint="eastAsia" w:ascii="仿宋_GB2312" w:eastAsia="仿宋_GB2312"/>
          <w:color w:val="000000"/>
          <w:sz w:val="32"/>
          <w:szCs w:val="32"/>
          <w:lang w:eastAsia="zh-CN"/>
        </w:rPr>
        <w:t>达川区经信局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2.01</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 w:eastAsia="仿宋"/>
          <w:color w:val="000000"/>
          <w:sz w:val="30"/>
          <w:szCs w:val="32"/>
        </w:rPr>
        <w:t>办公设备的购置</w:t>
      </w:r>
      <w:r>
        <w:rPr>
          <w:rFonts w:hint="eastAsia" w:ascii="仿宋_GB2312" w:eastAsia="仿宋_GB2312"/>
          <w:color w:val="000000"/>
          <w:sz w:val="32"/>
          <w:szCs w:val="32"/>
          <w:lang w:eastAsia="zh-CN"/>
        </w:rPr>
        <w:t>，如单位新进人员购置电脑</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达川区经信局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辆，其中：部级领导干部用车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3" w:firstLineChars="150"/>
        <w:jc w:val="center"/>
        <w:outlineLvl w:val="0"/>
        <w:rPr>
          <w:rStyle w:val="24"/>
          <w:rFonts w:ascii="黑体" w:hAnsi="黑体" w:eastAsia="黑体"/>
          <w:b w:val="0"/>
        </w:rPr>
      </w:pPr>
      <w:bookmarkStart w:id="55" w:name="_Toc15396613"/>
      <w:bookmarkStart w:id="56"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方正仿宋_GBK" w:eastAsia="方正仿宋_GBK"/>
          <w:color w:val="000000"/>
          <w:sz w:val="32"/>
          <w:szCs w:val="32"/>
        </w:rPr>
      </w:pPr>
      <w:r>
        <w:rPr>
          <w:rFonts w:ascii="仿宋_GB2312" w:eastAsia="仿宋_GB2312"/>
          <w:color w:val="000000"/>
          <w:sz w:val="32"/>
          <w:szCs w:val="32"/>
        </w:rPr>
        <w:t>9.</w:t>
      </w:r>
      <w:r>
        <w:rPr>
          <w:rFonts w:hint="eastAsia" w:ascii="方正仿宋_GBK" w:eastAsia="方正仿宋_GBK"/>
          <w:color w:val="000000"/>
          <w:sz w:val="32"/>
          <w:szCs w:val="32"/>
        </w:rPr>
        <w:t>一般公共服务</w:t>
      </w:r>
      <w:r>
        <w:rPr>
          <w:rFonts w:hint="eastAsia" w:ascii="方正仿宋_GBK" w:eastAsia="方正仿宋_GBK"/>
          <w:color w:val="000000"/>
          <w:sz w:val="32"/>
          <w:szCs w:val="32"/>
          <w:lang w:eastAsia="zh-CN"/>
        </w:rPr>
        <w:t>（类）政府办公厅（室）及相关机构事务（款）</w:t>
      </w:r>
      <w:r>
        <w:rPr>
          <w:rFonts w:hint="eastAsia" w:ascii="方正仿宋_GBK" w:eastAsia="方正仿宋_GBK"/>
          <w:color w:val="000000"/>
          <w:sz w:val="32"/>
          <w:szCs w:val="32"/>
        </w:rPr>
        <w:t>行政运行</w:t>
      </w:r>
      <w:r>
        <w:rPr>
          <w:rFonts w:hint="eastAsia" w:ascii="方正仿宋_GBK" w:eastAsia="方正仿宋_GBK"/>
          <w:color w:val="000000"/>
          <w:sz w:val="32"/>
          <w:szCs w:val="32"/>
          <w:lang w:eastAsia="zh-CN"/>
        </w:rPr>
        <w:t>（项）</w:t>
      </w:r>
      <w:r>
        <w:rPr>
          <w:rFonts w:hint="eastAsia" w:ascii="方正仿宋_GBK" w:eastAsia="方正仿宋_GBK"/>
          <w:color w:val="000000"/>
          <w:sz w:val="32"/>
          <w:szCs w:val="32"/>
        </w:rPr>
        <w:t>：指反映行政单位（包括实行公务员管理的事业单位）的基本支出。</w:t>
      </w:r>
    </w:p>
    <w:p>
      <w:pPr>
        <w:ind w:firstLine="640" w:firstLineChars="200"/>
        <w:rPr>
          <w:rFonts w:hint="eastAsia" w:ascii="方正仿宋_GBK" w:eastAsia="方正仿宋_GBK"/>
          <w:color w:val="000000"/>
          <w:sz w:val="32"/>
          <w:szCs w:val="32"/>
        </w:rPr>
      </w:pPr>
      <w:r>
        <w:rPr>
          <w:rFonts w:hint="eastAsia" w:ascii="方正仿宋_GBK" w:eastAsia="方正仿宋_GBK"/>
          <w:color w:val="000000"/>
          <w:sz w:val="32"/>
          <w:szCs w:val="32"/>
        </w:rPr>
        <w:t>一般公共服务</w:t>
      </w:r>
      <w:r>
        <w:rPr>
          <w:rFonts w:hint="eastAsia" w:ascii="方正仿宋_GBK" w:eastAsia="方正仿宋_GBK"/>
          <w:color w:val="000000"/>
          <w:sz w:val="32"/>
          <w:szCs w:val="32"/>
          <w:lang w:eastAsia="zh-CN"/>
        </w:rPr>
        <w:t>（类）政府办公厅（室）及相关机构事务（款）一般行政管理事务（项）：</w:t>
      </w:r>
      <w:r>
        <w:rPr>
          <w:rFonts w:hint="eastAsia" w:ascii="方正仿宋_GBK" w:eastAsia="方正仿宋_GBK"/>
          <w:color w:val="000000"/>
          <w:sz w:val="32"/>
          <w:szCs w:val="32"/>
        </w:rPr>
        <w:t>指反映行政单位（包括实行公务员管理的事业单位）未独立设置项级科目的其他项目支出。</w:t>
      </w:r>
    </w:p>
    <w:p>
      <w:pPr>
        <w:ind w:firstLine="640"/>
        <w:rPr>
          <w:rFonts w:hint="eastAsia" w:ascii="方正仿宋_GBK" w:eastAsia="方正仿宋_GBK"/>
          <w:color w:val="000000"/>
          <w:sz w:val="32"/>
          <w:szCs w:val="32"/>
          <w:lang w:eastAsia="zh-CN"/>
        </w:rPr>
      </w:pPr>
      <w:r>
        <w:rPr>
          <w:rFonts w:hint="eastAsia" w:ascii="方正仿宋_GBK" w:eastAsia="方正仿宋_GBK"/>
          <w:color w:val="000000"/>
          <w:sz w:val="32"/>
          <w:szCs w:val="32"/>
        </w:rPr>
        <w:t>一般公共服务</w:t>
      </w:r>
      <w:r>
        <w:rPr>
          <w:rFonts w:hint="eastAsia" w:ascii="方正仿宋_GBK" w:eastAsia="方正仿宋_GBK"/>
          <w:color w:val="000000"/>
          <w:sz w:val="32"/>
          <w:szCs w:val="32"/>
          <w:lang w:eastAsia="zh-CN"/>
        </w:rPr>
        <w:t>（类）政府办公厅（室）及相关机构事务（款）其他政府办公厅（室）及相关机构事务支出（项）：指反映除上述项目以外的其他政府办公厅（室）及相关机构事务支出。</w:t>
      </w:r>
    </w:p>
    <w:p>
      <w:pPr>
        <w:ind w:firstLine="640" w:firstLineChars="200"/>
        <w:rPr>
          <w:rFonts w:hint="eastAsia" w:ascii="方正仿宋_GBK" w:eastAsia="方正仿宋_GBK"/>
          <w:color w:val="000000"/>
          <w:sz w:val="32"/>
          <w:szCs w:val="32"/>
          <w:lang w:eastAsia="zh-CN"/>
        </w:rPr>
      </w:pPr>
      <w:r>
        <w:rPr>
          <w:rFonts w:hint="eastAsia" w:ascii="方正仿宋_GBK" w:eastAsia="方正仿宋_GBK"/>
          <w:color w:val="000000"/>
          <w:sz w:val="32"/>
          <w:szCs w:val="32"/>
        </w:rPr>
        <w:t>一般公共服务</w:t>
      </w:r>
      <w:r>
        <w:rPr>
          <w:rFonts w:hint="eastAsia" w:ascii="方正仿宋_GBK" w:eastAsia="方正仿宋_GBK"/>
          <w:color w:val="000000"/>
          <w:sz w:val="32"/>
          <w:szCs w:val="32"/>
          <w:lang w:eastAsia="zh-CN"/>
        </w:rPr>
        <w:t>（类）发展与改革事务（款）行政运行（项）：</w:t>
      </w:r>
      <w:r>
        <w:rPr>
          <w:rFonts w:hint="eastAsia" w:ascii="方正仿宋_GBK" w:eastAsia="方正仿宋_GBK"/>
          <w:color w:val="000000"/>
          <w:sz w:val="32"/>
          <w:szCs w:val="32"/>
        </w:rPr>
        <w:t>指反映行政单位（包括实行公务员管理的事业单位）的基本支出。</w:t>
      </w:r>
    </w:p>
    <w:p>
      <w:pPr>
        <w:ind w:firstLine="480" w:firstLineChars="150"/>
        <w:rPr>
          <w:rFonts w:ascii="仿宋" w:hAnsi="仿宋" w:eastAsia="仿宋" w:cs="仿宋_GB2312"/>
          <w:sz w:val="32"/>
          <w:szCs w:val="32"/>
        </w:rPr>
      </w:pPr>
      <w:r>
        <w:rPr>
          <w:rFonts w:hint="eastAsia" w:ascii="仿宋_GB2312" w:eastAsia="仿宋_GB2312"/>
          <w:color w:val="000000"/>
          <w:sz w:val="32"/>
          <w:szCs w:val="32"/>
          <w:lang w:val="en-US" w:eastAsia="zh-CN"/>
        </w:rPr>
        <w:t>10</w:t>
      </w:r>
      <w:r>
        <w:rPr>
          <w:rFonts w:ascii="仿宋_GB2312" w:eastAsia="仿宋_GB2312"/>
          <w:color w:val="000000"/>
          <w:sz w:val="32"/>
          <w:szCs w:val="32"/>
        </w:rPr>
        <w:t>.</w:t>
      </w:r>
      <w:r>
        <w:rPr>
          <w:rFonts w:hint="eastAsia" w:ascii="仿宋_GB2312" w:hAnsi="Calibri" w:eastAsia="仿宋_GB2312" w:cs="仿宋"/>
          <w:color w:val="000000"/>
          <w:kern w:val="0"/>
          <w:sz w:val="32"/>
          <w:szCs w:val="32"/>
        </w:rPr>
        <w:t>社会保障和就业（类）行政事业单位离退休（款）机关事业单位基本养老保险缴费支出（项）：</w:t>
      </w:r>
      <w:r>
        <w:rPr>
          <w:rFonts w:hint="eastAsia" w:ascii="仿宋" w:hAnsi="仿宋" w:eastAsia="仿宋" w:cs="仿宋_GB2312"/>
          <w:sz w:val="32"/>
          <w:szCs w:val="32"/>
        </w:rPr>
        <w:t>指反映机关事业单位实施养老保险制度由单位缴纳的基本养老保险费支出。</w:t>
      </w:r>
    </w:p>
    <w:p>
      <w:pPr>
        <w:ind w:firstLine="640" w:firstLineChars="200"/>
        <w:rPr>
          <w:rFonts w:ascii="仿宋" w:hAnsi="仿宋" w:eastAsia="仿宋" w:cs="仿宋_GB2312"/>
          <w:sz w:val="32"/>
          <w:szCs w:val="32"/>
        </w:rPr>
      </w:pPr>
      <w:r>
        <w:rPr>
          <w:rFonts w:hint="eastAsia" w:ascii="仿宋_GB2312" w:hAnsi="Calibri" w:eastAsia="仿宋_GB2312" w:cs="仿宋"/>
          <w:color w:val="000000"/>
          <w:kern w:val="0"/>
          <w:sz w:val="32"/>
          <w:szCs w:val="32"/>
        </w:rPr>
        <w:t>社会保障和就业（类）行政事业单位离退休（款）机关事业单位职业年金缴费支出（项）：</w:t>
      </w:r>
      <w:r>
        <w:rPr>
          <w:rFonts w:hint="eastAsia" w:ascii="仿宋" w:hAnsi="仿宋" w:eastAsia="仿宋" w:cs="仿宋_GB2312"/>
          <w:sz w:val="32"/>
          <w:szCs w:val="32"/>
        </w:rPr>
        <w:t>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_GB2312" w:hAnsi="Calibri" w:eastAsia="仿宋_GB2312" w:cs="仿宋"/>
          <w:color w:val="000000"/>
          <w:kern w:val="0"/>
          <w:sz w:val="32"/>
          <w:szCs w:val="32"/>
        </w:rPr>
        <w:t>医疗卫生与计划生育支出（类）医疗保障（款）行政单位医疗（项）：</w:t>
      </w:r>
      <w:r>
        <w:rPr>
          <w:rFonts w:hint="eastAsia" w:ascii="仿宋" w:hAnsi="仿宋" w:eastAsia="仿宋" w:cs="仿宋_GB2312"/>
          <w:sz w:val="32"/>
          <w:szCs w:val="32"/>
        </w:rPr>
        <w:t>指反映财政部门集中安排的行政单位基本医疗保险缴费经费，按国家规定享受离休人员、红军老战士待遇人员的医疗经费。</w:t>
      </w:r>
    </w:p>
    <w:p>
      <w:pPr>
        <w:ind w:firstLine="640" w:firstLineChars="200"/>
        <w:rPr>
          <w:rFonts w:hint="eastAsia" w:ascii="仿宋_GB2312" w:eastAsia="仿宋_GB2312"/>
          <w:color w:val="000000"/>
          <w:sz w:val="32"/>
          <w:szCs w:val="32"/>
          <w:lang w:eastAsia="zh-CN"/>
        </w:rPr>
      </w:pPr>
      <w:r>
        <w:rPr>
          <w:rFonts w:hint="eastAsia" w:ascii="仿宋_GB2312" w:hAnsi="Calibri" w:eastAsia="仿宋_GB2312" w:cs="仿宋"/>
          <w:color w:val="000000"/>
          <w:kern w:val="0"/>
          <w:sz w:val="32"/>
          <w:szCs w:val="32"/>
        </w:rPr>
        <w:t>医疗卫生与计划生育支出（类）医疗保障（款）</w:t>
      </w:r>
      <w:r>
        <w:rPr>
          <w:rFonts w:hint="eastAsia" w:ascii="仿宋_GB2312" w:hAnsi="Calibri" w:eastAsia="仿宋_GB2312" w:cs="仿宋"/>
          <w:color w:val="000000"/>
          <w:kern w:val="0"/>
          <w:sz w:val="32"/>
          <w:szCs w:val="32"/>
          <w:lang w:eastAsia="zh-CN"/>
        </w:rPr>
        <w:t>公务员医疗补助</w:t>
      </w:r>
      <w:r>
        <w:rPr>
          <w:rFonts w:hint="eastAsia" w:ascii="仿宋_GB2312" w:hAnsi="Calibri" w:eastAsia="仿宋_GB2312" w:cs="仿宋"/>
          <w:color w:val="000000"/>
          <w:kern w:val="0"/>
          <w:sz w:val="32"/>
          <w:szCs w:val="32"/>
        </w:rPr>
        <w:t>（项）：</w:t>
      </w:r>
      <w:r>
        <w:rPr>
          <w:rFonts w:hint="eastAsia" w:ascii="仿宋_GB2312" w:hAnsi="Calibri" w:eastAsia="仿宋_GB2312" w:cs="仿宋"/>
          <w:color w:val="000000"/>
          <w:kern w:val="0"/>
          <w:sz w:val="32"/>
          <w:szCs w:val="32"/>
          <w:lang w:eastAsia="zh-CN"/>
        </w:rPr>
        <w:t>批反映财政部门集中安排的公务员医疗补助经费。</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_GB2312" w:eastAsia="仿宋_GB2312"/>
          <w:color w:val="000000"/>
          <w:sz w:val="32"/>
          <w:szCs w:val="32"/>
        </w:rPr>
        <w:t>城乡社区（类）</w:t>
      </w:r>
      <w:r>
        <w:rPr>
          <w:rFonts w:hint="eastAsia" w:ascii="仿宋_GB2312" w:eastAsia="仿宋_GB2312"/>
          <w:color w:val="000000"/>
          <w:sz w:val="32"/>
          <w:szCs w:val="32"/>
          <w:lang w:eastAsia="zh-CN"/>
        </w:rPr>
        <w:t>国有土地使用权出让收入及对应专项债务收入安排的支出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征地和拆迁补偿支出</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反映地方人民政府在征地和收购土地过程中支付的土地补偿费、安置补助费、地上附着和青苗补偿费、拆迁补偿费支出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城乡社区（类）</w:t>
      </w:r>
      <w:r>
        <w:rPr>
          <w:rFonts w:hint="eastAsia" w:ascii="仿宋_GB2312" w:eastAsia="仿宋_GB2312"/>
          <w:color w:val="000000"/>
          <w:sz w:val="32"/>
          <w:szCs w:val="32"/>
          <w:lang w:eastAsia="zh-CN"/>
        </w:rPr>
        <w:t>国有土地使用权出让收入及对应专项债务收入安排的支出</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其他国有土地使用权出让收入安排的支出</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指反映土地出让收入用于其他方面的支出。不包括市县级政府当年按规定用土地出让收入向中央和省级政府缴纳的新增建设用土地有偿使用费的支出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资源勘探信息等（类）</w:t>
      </w:r>
      <w:r>
        <w:rPr>
          <w:rFonts w:hint="eastAsia" w:ascii="仿宋_GB2312" w:eastAsia="仿宋_GB2312"/>
          <w:color w:val="000000"/>
          <w:sz w:val="32"/>
          <w:szCs w:val="32"/>
          <w:lang w:eastAsia="zh-CN"/>
        </w:rPr>
        <w:t>制造业（</w:t>
      </w:r>
      <w:r>
        <w:rPr>
          <w:rFonts w:hint="eastAsia" w:ascii="仿宋_GB2312" w:eastAsia="仿宋_GB2312"/>
          <w:color w:val="000000"/>
          <w:sz w:val="32"/>
          <w:szCs w:val="32"/>
        </w:rPr>
        <w:t>款）</w:t>
      </w:r>
      <w:r>
        <w:rPr>
          <w:rFonts w:hint="eastAsia" w:ascii="仿宋_GB2312" w:eastAsia="仿宋_GB2312"/>
          <w:color w:val="000000"/>
          <w:sz w:val="32"/>
          <w:szCs w:val="32"/>
          <w:lang w:eastAsia="zh-CN"/>
        </w:rPr>
        <w:t>其他制造业</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反映除上述项目以外其他制造业方面的支出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hAnsi="Calibri" w:eastAsia="仿宋_GB2312" w:cs="仿宋"/>
          <w:color w:val="000000"/>
          <w:kern w:val="0"/>
          <w:sz w:val="32"/>
          <w:szCs w:val="32"/>
        </w:rPr>
        <w:t>住房保险支出（类）住房改革支出（款）住房公积金（项）：</w:t>
      </w:r>
      <w:r>
        <w:rPr>
          <w:rFonts w:hint="eastAsia" w:ascii="仿宋" w:hAnsi="仿宋" w:eastAsia="仿宋" w:cs="仿宋_GB2312"/>
          <w:sz w:val="32"/>
          <w:szCs w:val="32"/>
        </w:rPr>
        <w:t>反映行政事业单位按人力资源和社会保障部、财政部规定的基本工资和津贴补贴以及规定比例为职工缴纳的住房公积金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bookmarkStart w:id="57" w:name="_Toc15396614"/>
      <w:bookmarkStart w:id="58" w:name="_Toc15377226"/>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57"/>
    </w:p>
    <w:p>
      <w:pPr>
        <w:spacing w:line="600" w:lineRule="exact"/>
        <w:jc w:val="center"/>
        <w:outlineLvl w:val="0"/>
        <w:rPr>
          <w:rStyle w:val="24"/>
        </w:rPr>
      </w:pPr>
    </w:p>
    <w:p>
      <w:pPr>
        <w:pStyle w:val="3"/>
        <w:rPr>
          <w:rStyle w:val="24"/>
          <w:rFonts w:ascii="仿宋" w:hAnsi="仿宋" w:eastAsia="仿宋"/>
          <w:b w:val="0"/>
          <w:bCs w:val="0"/>
          <w:sz w:val="32"/>
          <w:szCs w:val="32"/>
        </w:rPr>
      </w:pPr>
      <w:bookmarkStart w:id="59" w:name="_Toc15396615"/>
      <w:r>
        <w:rPr>
          <w:rStyle w:val="24"/>
          <w:rFonts w:hint="eastAsia" w:ascii="仿宋" w:hAnsi="仿宋" w:eastAsia="仿宋"/>
          <w:b w:val="0"/>
          <w:bCs w:val="0"/>
          <w:sz w:val="32"/>
          <w:szCs w:val="32"/>
        </w:rPr>
        <w:t>附件1</w:t>
      </w:r>
      <w:bookmarkEnd w:id="59"/>
    </w:p>
    <w:p>
      <w:pPr>
        <w:spacing w:line="600" w:lineRule="exact"/>
        <w:jc w:val="center"/>
        <w:outlineLvl w:val="0"/>
        <w:rPr>
          <w:rFonts w:hint="eastAsia" w:ascii="黑体" w:hAnsi="黑体" w:eastAsia="黑体" w:cs="方正小标宋简体"/>
          <w:sz w:val="36"/>
          <w:szCs w:val="36"/>
          <w:lang w:eastAsia="zh-CN"/>
        </w:rPr>
      </w:pPr>
      <w:bookmarkStart w:id="60" w:name="_Toc15396616"/>
      <w:r>
        <w:rPr>
          <w:rFonts w:hint="eastAsia" w:ascii="黑体" w:hAnsi="黑体" w:eastAsia="黑体" w:cs="方正小标宋简体"/>
          <w:sz w:val="36"/>
          <w:szCs w:val="36"/>
          <w:lang w:eastAsia="zh-CN"/>
        </w:rPr>
        <w:t>达川区经济和信息化局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包括部门自评质量、绩效目标公开和自评公开、评价结果整改和应用结果反馈等情况。</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1" w:name="_Toc15396617"/>
      <w:r>
        <w:rPr>
          <w:rStyle w:val="24"/>
          <w:rFonts w:hint="eastAsia" w:ascii="仿宋" w:hAnsi="仿宋" w:eastAsia="仿宋"/>
          <w:b w:val="0"/>
          <w:bCs w:val="0"/>
          <w:sz w:val="32"/>
          <w:szCs w:val="32"/>
        </w:rPr>
        <w:t>附件2</w:t>
      </w:r>
      <w:bookmarkEnd w:id="61"/>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我</w:t>
      </w:r>
      <w:r>
        <w:rPr>
          <w:rFonts w:hint="eastAsia" w:ascii="黑体" w:hAnsi="黑体" w:eastAsia="黑体" w:cs="方正小标宋简体"/>
          <w:sz w:val="44"/>
          <w:szCs w:val="44"/>
          <w:lang w:eastAsia="zh-CN"/>
        </w:rPr>
        <w:t>局</w:t>
      </w:r>
      <w:r>
        <w:rPr>
          <w:rFonts w:hint="eastAsia" w:ascii="黑体" w:hAnsi="黑体" w:eastAsia="黑体" w:cs="方正小标宋简体"/>
          <w:sz w:val="44"/>
          <w:szCs w:val="44"/>
        </w:rPr>
        <w:t>没有开展</w:t>
      </w:r>
      <w:r>
        <w:rPr>
          <w:rFonts w:ascii="黑体" w:hAnsi="黑体" w:eastAsia="黑体" w:cs="方正小标宋简体"/>
          <w:sz w:val="44"/>
          <w:szCs w:val="44"/>
        </w:rPr>
        <w:t>2018</w:t>
      </w:r>
      <w:r>
        <w:rPr>
          <w:rFonts w:hint="eastAsia" w:ascii="黑体" w:hAnsi="黑体" w:eastAsia="黑体" w:cs="方正小标宋简体"/>
          <w:sz w:val="44"/>
          <w:szCs w:val="44"/>
        </w:rPr>
        <w:t>年项目支出绩效评价</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项目评价实施方案情况（包括选点、评价指标、评价方法、基础数据表等情况）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项目绩效评价总体结论（包括项目评价得分表）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必要性和可行性分析（包括政策依据和政策完善，政策和需求的吻合程度分析），绩效目标设置情况（包括绩效目标设置的明确性和合理性）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资金分配情况（资金分配管理的科学合理性）资，金使用情况（项目、资金管理的科学规范性）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项目目标完成情况（数量、质量、时效、成本），项目效益情况（经济效益、项目社会效益、生态效益、可持续效益、公平性、资金使用效率、受益群体满意度等）。</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、存在主要问题</w:t>
      </w:r>
    </w:p>
    <w:p>
      <w:pPr>
        <w:spacing w:line="580" w:lineRule="exact"/>
        <w:ind w:firstLine="640" w:firstLineChars="200"/>
        <w:rPr>
          <w:rStyle w:val="24"/>
          <w:rFonts w:ascii="仿宋" w:hAnsi="仿宋" w:eastAsia="仿宋" w:cs="仿宋_GB2312"/>
          <w:b w:val="0"/>
          <w:bCs w:val="0"/>
          <w:kern w:val="2"/>
          <w:sz w:val="32"/>
          <w:szCs w:val="32"/>
        </w:rPr>
      </w:pPr>
      <w:r>
        <w:rPr>
          <w:rFonts w:hint="eastAsia" w:ascii="仿宋" w:hAnsi="仿宋" w:eastAsia="仿宋" w:cs="仿宋_GB2312"/>
          <w:sz w:val="32"/>
          <w:szCs w:val="32"/>
        </w:rPr>
        <w:t>四</w:t>
      </w:r>
      <w:r>
        <w:rPr>
          <w:rFonts w:ascii="仿宋" w:hAnsi="仿宋" w:eastAsia="仿宋" w:cs="仿宋_GB2312"/>
          <w:sz w:val="32"/>
          <w:szCs w:val="32"/>
        </w:rPr>
        <w:t>、相关措施建议</w:t>
      </w:r>
    </w:p>
    <w:p>
      <w:pPr>
        <w:spacing w:line="600" w:lineRule="exact"/>
        <w:jc w:val="center"/>
        <w:outlineLvl w:val="0"/>
        <w:rPr>
          <w:rStyle w:val="24"/>
          <w:rFonts w:ascii="黑体" w:hAnsi="黑体" w:eastAsia="黑体"/>
          <w:b w:val="0"/>
        </w:rPr>
      </w:pPr>
      <w:bookmarkStart w:id="62"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58"/>
      <w:bookmarkEnd w:id="6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14:textFill>
            <w14:solidFill>
              <w14:schemeClr w14:val="tx1"/>
            </w14:solidFill>
          </w14:textFill>
        </w:rPr>
      </w:pPr>
      <w:bookmarkStart w:id="75"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10</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3CC1"/>
    <w:rsid w:val="00FF1E02"/>
    <w:rsid w:val="00FF30B4"/>
    <w:rsid w:val="03D143A4"/>
    <w:rsid w:val="10C055FF"/>
    <w:rsid w:val="13203DAF"/>
    <w:rsid w:val="13BB5106"/>
    <w:rsid w:val="16BB723D"/>
    <w:rsid w:val="16E47850"/>
    <w:rsid w:val="19F20D1C"/>
    <w:rsid w:val="1E146CDF"/>
    <w:rsid w:val="240371BF"/>
    <w:rsid w:val="29FD04D3"/>
    <w:rsid w:val="2EE80311"/>
    <w:rsid w:val="319F7F4E"/>
    <w:rsid w:val="42262AA9"/>
    <w:rsid w:val="48011019"/>
    <w:rsid w:val="4A150664"/>
    <w:rsid w:val="4B5A2B53"/>
    <w:rsid w:val="4DC923A4"/>
    <w:rsid w:val="4E6A696B"/>
    <w:rsid w:val="667F6FC6"/>
    <w:rsid w:val="7EE951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aseline="0">
                <a:solidFill>
                  <a:schemeClr val="accent3">
                    <a:lumMod val="50000"/>
                  </a:schemeClr>
                </a:solidFill>
              </a:rPr>
              <a:t>收、支决算总计变动情况</a:t>
            </a:r>
            <a:endParaRPr lang="zh-CN" altLang="en-US" baseline="0">
              <a:solidFill>
                <a:schemeClr val="accent3">
                  <a:lumMod val="50000"/>
                </a:schemeClr>
              </a:solidFill>
            </a:endParaRPr>
          </a:p>
        </c:rich>
      </c:tx>
      <c:layout/>
      <c:overlay val="0"/>
      <c:spPr>
        <a:noFill/>
        <a:ln>
          <a:noFill/>
        </a:ln>
        <a:effectLst/>
      </c:spPr>
    </c:title>
    <c:autoTitleDeleted val="0"/>
    <c:plotArea>
      <c:layout>
        <c:manualLayout>
          <c:layoutTarget val="inner"/>
          <c:xMode val="edge"/>
          <c:yMode val="edge"/>
          <c:x val="0.0941009509489706"/>
          <c:y val="0.127960947556715"/>
          <c:w val="0.857644623690332"/>
          <c:h val="0.686967416365773"/>
        </c:manualLayout>
      </c:layout>
      <c:barChart>
        <c:barDir val="col"/>
        <c:grouping val="clustered"/>
        <c:varyColors val="0"/>
        <c:ser>
          <c:idx val="0"/>
          <c:order val="0"/>
          <c:tx>
            <c:strRef>
              <c:f>Sheet1!$B$1</c:f>
              <c:strCache>
                <c:ptCount val="1"/>
                <c:pt idx="0">
                  <c:v>收、支决算总计变动情况</c:v>
                </c:pt>
              </c:strCache>
            </c:strRef>
          </c:tx>
          <c:spPr>
            <a:solidFill>
              <a:srgbClr val="00B0F0"/>
            </a:solidFill>
            <a:ln>
              <a:noFill/>
            </a:ln>
            <a:effectLst/>
          </c:spPr>
          <c:invertIfNegative val="0"/>
          <c:dLbls>
            <c:delete val="1"/>
          </c:dLbls>
          <c:cat>
            <c:strRef>
              <c:f>Sheet1!$A$2:$A$3</c:f>
              <c:strCache>
                <c:ptCount val="2"/>
                <c:pt idx="0">
                  <c:v>2017年度</c:v>
                </c:pt>
                <c:pt idx="1">
                  <c:v>2018年度</c:v>
                </c:pt>
              </c:strCache>
            </c:strRef>
          </c:cat>
          <c:val>
            <c:numRef>
              <c:f>Sheet1!$B$2:$B$3</c:f>
              <c:numCache>
                <c:formatCode>General</c:formatCode>
                <c:ptCount val="2"/>
                <c:pt idx="0">
                  <c:v>1821.15</c:v>
                </c:pt>
                <c:pt idx="1">
                  <c:v>2203.05</c:v>
                </c:pt>
              </c:numCache>
            </c:numRef>
          </c:val>
        </c:ser>
        <c:dLbls>
          <c:showLegendKey val="0"/>
          <c:showVal val="0"/>
          <c:showCatName val="0"/>
          <c:showSerName val="0"/>
          <c:showPercent val="0"/>
          <c:showBubbleSize val="0"/>
        </c:dLbls>
        <c:gapWidth val="219"/>
        <c:overlap val="-27"/>
        <c:axId val="54584064"/>
        <c:axId val="54586368"/>
      </c:barChart>
      <c:catAx>
        <c:axId val="5458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86368"/>
        <c:crosses val="autoZero"/>
        <c:auto val="1"/>
        <c:lblAlgn val="ctr"/>
        <c:lblOffset val="100"/>
        <c:noMultiLvlLbl val="0"/>
      </c:catAx>
      <c:valAx>
        <c:axId val="545863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Red]\-#,##0.0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84064"/>
        <c:crosses val="autoZero"/>
        <c:crossBetween val="between"/>
      </c:valAx>
      <c:spPr>
        <a:noFill/>
        <a:ln>
          <a:noFill/>
        </a:ln>
        <a:effectLst/>
      </c:spPr>
    </c:plotArea>
    <c:legend>
      <c:legendPos val="b"/>
      <c:layout/>
      <c:overlay val="0"/>
      <c:spPr>
        <a:noFill/>
        <a:ln>
          <a:solidFill>
            <a:srgbClr val="92D050"/>
          </a:solid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a:ln>
              <a:noFill/>
            </a:ln>
          </c:spPr>
          <c:explosion val="0"/>
          <c:dPt>
            <c:idx val="0"/>
            <c:bubble3D val="0"/>
            <c:spPr>
              <a:solidFill>
                <a:schemeClr val="accent1"/>
              </a:solidFill>
              <a:ln w="19050">
                <a:noFill/>
              </a:ln>
              <a:effectLst/>
            </c:spPr>
          </c:dPt>
          <c:dPt>
            <c:idx val="1"/>
            <c:bubble3D val="0"/>
            <c:spPr>
              <a:ln>
                <a:noFill/>
              </a:ln>
            </c:spPr>
          </c:dPt>
          <c:dLbls>
            <c:dLbl>
              <c:idx val="0"/>
              <c:layout>
                <c:manualLayout>
                  <c:x val="-0.0309128519951955"/>
                  <c:y val="-0.193933258342707"/>
                </c:manualLayout>
              </c:layout>
              <c:tx>
                <c:rich>
                  <a:bodyPr rot="0" spcFirstLastPara="1" vertOverflow="ellipsis" vert="horz" wrap="square" lIns="38100" tIns="19050" rIns="38100" bIns="19050" anchor="ctr" anchorCtr="1"/>
                  <a:lstStyle/>
                  <a:p>
                    <a:fld id="{03586d65-a4a5-497e-a0af-557d9d90fff3}" type="VALUE">
                      <a:t>[VALUE]</a:t>
                    </a:fld>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1017.41</c:v>
                </c:pt>
                <c:pt idx="1">
                  <c:v>594.41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solidFill>
          <a:schemeClr val="accent3">
            <a:lumMod val="20000"/>
            <a:lumOff val="80000"/>
          </a:schemeClr>
        </a:solid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aseline="0">
                <a:solidFill>
                  <a:srgbClr val="00B0F0"/>
                </a:solidFill>
              </a:rPr>
              <a:t>支出决算结构图</a:t>
            </a:r>
            <a:endParaRPr lang="zh-CN" altLang="en-US" baseline="0">
              <a:solidFill>
                <a:srgbClr val="00B0F0"/>
              </a:solidFill>
            </a:endParaRP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layout/>
              <c:tx>
                <c:rich>
                  <a:bodyPr rot="0" spcFirstLastPara="1" vertOverflow="ellipsis" vert="horz" wrap="square" lIns="38100" tIns="19050" rIns="38100" bIns="19050" anchor="ctr" anchorCtr="1">
                    <a:spAutoFit/>
                  </a:bodyPr>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526.21</a:t>
                    </a:r>
                    <a:endParaRPr lang="en-US" altLang="zh-CN"/>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spAutoFit/>
                  </a:bodyPr>
                  <a:lstStyle/>
                  <a:p>
                    <a:pPr defTabSz="914400">
                      <a:defRPr lang="zh-CN" sz="900" b="0" i="0" u="none" strike="noStrike" kern="1200" baseline="0">
                        <a:solidFill>
                          <a:schemeClr val="tx1">
                            <a:lumMod val="75000"/>
                            <a:lumOff val="25000"/>
                          </a:schemeClr>
                        </a:solidFill>
                        <a:latin typeface="+mn-lt"/>
                        <a:ea typeface="+mn-ea"/>
                        <a:cs typeface="+mn-cs"/>
                      </a:defRPr>
                    </a:pPr>
                    <a:r>
                      <a:t> 1093</a:t>
                    </a: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1"/>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526.21</c:v>
                </c:pt>
                <c:pt idx="1">
                  <c:v>1093</c:v>
                </c:pt>
              </c:numCache>
            </c:numRef>
          </c:val>
        </c:ser>
        <c:dLbls>
          <c:showLegendKey val="0"/>
          <c:showVal val="0"/>
          <c:showCatName val="0"/>
          <c:showSerName val="0"/>
          <c:showPercent val="1"/>
          <c:showBubbleSize val="0"/>
          <c:showLeaderLines val="1"/>
        </c:dLbls>
        <c:firstSliceAng val="15"/>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aseline="0">
                <a:solidFill>
                  <a:schemeClr val="accent3">
                    <a:lumMod val="50000"/>
                  </a:schemeClr>
                </a:solidFill>
              </a:rPr>
              <a:t>财政拨款收、支决算总计变动情况</a:t>
            </a:r>
            <a:endParaRPr lang="zh-CN" altLang="en-US" baseline="0">
              <a:solidFill>
                <a:schemeClr val="accent3">
                  <a:lumMod val="50000"/>
                </a:schemeClr>
              </a:solidFill>
            </a:endParaRPr>
          </a:p>
        </c:rich>
      </c:tx>
      <c:layout>
        <c:manualLayout>
          <c:xMode val="edge"/>
          <c:yMode val="edge"/>
          <c:x val="0.134511784511784"/>
          <c:y val="0.0231788079470199"/>
        </c:manualLayout>
      </c:layout>
      <c:overlay val="0"/>
      <c:spPr>
        <a:noFill/>
        <a:ln>
          <a:noFill/>
        </a:ln>
        <a:effectLst/>
      </c:spPr>
    </c:title>
    <c:autoTitleDeleted val="0"/>
    <c:plotArea>
      <c:layout>
        <c:manualLayout>
          <c:layoutTarget val="inner"/>
          <c:xMode val="edge"/>
          <c:yMode val="edge"/>
          <c:x val="0.0773147259031646"/>
          <c:y val="0.140699815837937"/>
          <c:w val="0.857644623690332"/>
          <c:h val="0.686967416365772"/>
        </c:manualLayout>
      </c:layout>
      <c:barChart>
        <c:barDir val="col"/>
        <c:grouping val="clustered"/>
        <c:varyColors val="0"/>
        <c:ser>
          <c:idx val="0"/>
          <c:order val="0"/>
          <c:tx>
            <c:strRef>
              <c:f>Sheet1!$B$1</c:f>
              <c:strCache>
                <c:ptCount val="1"/>
                <c:pt idx="0">
                  <c:v>财政拨款收、支决算总计变动情况</c:v>
                </c:pt>
              </c:strCache>
            </c:strRef>
          </c:tx>
          <c:spPr>
            <a:solidFill>
              <a:schemeClr val="accent6">
                <a:lumMod val="75000"/>
              </a:schemeClr>
            </a:solidFill>
            <a:ln>
              <a:noFill/>
            </a:ln>
            <a:effectLst/>
          </c:spPr>
          <c:invertIfNegative val="0"/>
          <c:dLbls>
            <c:delete val="1"/>
          </c:dLbls>
          <c:cat>
            <c:strRef>
              <c:f>Sheet1!$A$2:$A$3</c:f>
              <c:strCache>
                <c:ptCount val="2"/>
                <c:pt idx="0">
                  <c:v>2017年度</c:v>
                </c:pt>
                <c:pt idx="1">
                  <c:v>2018年度</c:v>
                </c:pt>
              </c:strCache>
            </c:strRef>
          </c:cat>
          <c:val>
            <c:numRef>
              <c:f>Sheet1!$B$2:$B$3</c:f>
              <c:numCache>
                <c:formatCode>General</c:formatCode>
                <c:ptCount val="2"/>
                <c:pt idx="0">
                  <c:v>1821.15</c:v>
                </c:pt>
                <c:pt idx="1">
                  <c:v>2203.05</c:v>
                </c:pt>
              </c:numCache>
            </c:numRef>
          </c:val>
        </c:ser>
        <c:dLbls>
          <c:showLegendKey val="0"/>
          <c:showVal val="0"/>
          <c:showCatName val="0"/>
          <c:showSerName val="0"/>
          <c:showPercent val="0"/>
          <c:showBubbleSize val="0"/>
        </c:dLbls>
        <c:gapWidth val="219"/>
        <c:overlap val="-27"/>
        <c:axId val="214608896"/>
        <c:axId val="214618880"/>
      </c:barChart>
      <c:catAx>
        <c:axId val="21460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618880"/>
        <c:crosses val="autoZero"/>
        <c:auto val="1"/>
        <c:lblAlgn val="ctr"/>
        <c:lblOffset val="100"/>
        <c:noMultiLvlLbl val="0"/>
      </c:catAx>
      <c:valAx>
        <c:axId val="214618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608896"/>
        <c:crosses val="autoZero"/>
        <c:crossBetween val="between"/>
      </c:valAx>
      <c:spPr>
        <a:noFill/>
        <a:ln>
          <a:noFill/>
        </a:ln>
        <a:effectLst/>
      </c:spPr>
    </c:plotArea>
    <c:legend>
      <c:legendPos val="b"/>
      <c:layout>
        <c:manualLayout>
          <c:xMode val="edge"/>
          <c:yMode val="edge"/>
          <c:x val="0.207300034465389"/>
          <c:y val="0.912251134171143"/>
          <c:w val="0.585399931069222"/>
          <c:h val="0.0745038327162747"/>
        </c:manualLayout>
      </c:layout>
      <c:overlay val="0"/>
      <c:spPr>
        <a:noFill/>
        <a:ln>
          <a:solidFill>
            <a:srgbClr val="92D050"/>
          </a:solid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baseline="0">
                <a:solidFill>
                  <a:schemeClr val="accent3">
                    <a:lumMod val="50000"/>
                  </a:schemeClr>
                </a:solidFill>
              </a:rPr>
              <a:t>一般公共预算财政拨款支出决算变动情况</a:t>
            </a:r>
            <a:endParaRPr lang="zh-CN" altLang="en-US" baseline="0">
              <a:solidFill>
                <a:schemeClr val="accent3">
                  <a:lumMod val="50000"/>
                </a:schemeClr>
              </a:solidFill>
            </a:endParaRPr>
          </a:p>
        </c:rich>
      </c:tx>
      <c:layout/>
      <c:overlay val="0"/>
      <c:spPr>
        <a:noFill/>
        <a:ln>
          <a:noFill/>
        </a:ln>
        <a:effectLst/>
      </c:spPr>
    </c:title>
    <c:autoTitleDeleted val="0"/>
    <c:plotArea>
      <c:layout>
        <c:manualLayout>
          <c:layoutTarget val="inner"/>
          <c:xMode val="edge"/>
          <c:yMode val="edge"/>
          <c:x val="0.0977044720285666"/>
          <c:y val="0.137009778937568"/>
          <c:w val="0.857644623690332"/>
          <c:h val="0.686967416365772"/>
        </c:manualLayout>
      </c:layout>
      <c:barChart>
        <c:barDir val="col"/>
        <c:grouping val="clustered"/>
        <c:varyColors val="0"/>
        <c:ser>
          <c:idx val="0"/>
          <c:order val="0"/>
          <c:tx>
            <c:strRef>
              <c:f>Sheet1!$B$1</c:f>
              <c:strCache>
                <c:ptCount val="1"/>
                <c:pt idx="0">
                  <c:v>一般公共预算财政拨款支出变动情况</c:v>
                </c:pt>
              </c:strCache>
            </c:strRef>
          </c:tx>
          <c:spPr>
            <a:solidFill>
              <a:schemeClr val="accent4">
                <a:lumMod val="75000"/>
              </a:schemeClr>
            </a:solidFill>
            <a:ln>
              <a:noFill/>
            </a:ln>
            <a:effectLst/>
          </c:spPr>
          <c:invertIfNegative val="0"/>
          <c:dLbls>
            <c:dLbl>
              <c:idx val="0"/>
              <c:layout/>
              <c:tx>
                <c:rich>
                  <a:bodyPr rot="0" spcFirstLastPara="1" vertOverflow="ellipsis" vert="horz" wrap="square" lIns="38100" tIns="19050" rIns="38100" bIns="19050" anchor="ctr" anchorCtr="1"/>
                  <a:lstStyle/>
                  <a:p>
                    <a:fld id="{5d925636-9dce-4c4b-a9db-07de268a5ee2}" type="VALUE">
                      <a:t>[VALUE]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fld id="{64d92f3b-c205-4b55-813c-b58493c77781}" type="VALUE">
                      <a:t>[VALUE]</a:t>
                    </a:fld>
                    <a:endParaRPr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2017年度</c:v>
                </c:pt>
                <c:pt idx="1">
                  <c:v>2018年度</c:v>
                </c:pt>
              </c:strCache>
            </c:strRef>
          </c:cat>
          <c:val>
            <c:numRef>
              <c:f>Sheet1!$B$2:$B$3</c:f>
              <c:numCache>
                <c:formatCode>General</c:formatCode>
                <c:ptCount val="2"/>
                <c:pt idx="0">
                  <c:v>898.75</c:v>
                </c:pt>
                <c:pt idx="1">
                  <c:v>1102.31</c:v>
                </c:pt>
              </c:numCache>
            </c:numRef>
          </c:val>
        </c:ser>
        <c:dLbls>
          <c:showLegendKey val="0"/>
          <c:showVal val="1"/>
          <c:showCatName val="0"/>
          <c:showSerName val="0"/>
          <c:showPercent val="0"/>
          <c:showBubbleSize val="0"/>
        </c:dLbls>
        <c:gapWidth val="219"/>
        <c:overlap val="-27"/>
        <c:axId val="267981568"/>
        <c:axId val="267983104"/>
      </c:barChart>
      <c:catAx>
        <c:axId val="26798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83104"/>
        <c:crosses val="autoZero"/>
        <c:auto val="1"/>
        <c:lblAlgn val="ctr"/>
        <c:lblOffset val="100"/>
        <c:noMultiLvlLbl val="0"/>
      </c:catAx>
      <c:valAx>
        <c:axId val="267983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7981568"/>
        <c:crosses val="autoZero"/>
        <c:crossBetween val="between"/>
      </c:valAx>
      <c:spPr>
        <a:noFill/>
        <a:ln>
          <a:noFill/>
        </a:ln>
        <a:effectLst/>
      </c:spPr>
    </c:plotArea>
    <c:legend>
      <c:legendPos val="b"/>
      <c:layout>
        <c:manualLayout>
          <c:xMode val="edge"/>
          <c:yMode val="edge"/>
          <c:x val="0.207300034465389"/>
          <c:y val="0.912251134171143"/>
          <c:w val="0.585399931069222"/>
          <c:h val="0.0745038327162747"/>
        </c:manualLayout>
      </c:layout>
      <c:overlay val="0"/>
      <c:spPr>
        <a:noFill/>
        <a:ln>
          <a:solidFill>
            <a:srgbClr val="92D050"/>
          </a:solid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rPr lang="zh-CN" altLang="en-US" sz="1600"/>
              <a:t>一般公共预算财政拨款支出决算结构图</a:t>
            </a:r>
            <a:endParaRPr lang="zh-CN" altLang="en-US" sz="1600"/>
          </a:p>
        </c:rich>
      </c:tx>
      <c:layout/>
      <c:overlay val="0"/>
      <c:spPr>
        <a:noFill/>
        <a:ln>
          <a:noFill/>
        </a:ln>
        <a:effectLst/>
      </c:spPr>
    </c:title>
    <c:autoTitleDeleted val="0"/>
    <c:plotArea>
      <c:layout>
        <c:manualLayout>
          <c:layoutTarget val="inner"/>
          <c:xMode val="edge"/>
          <c:yMode val="edge"/>
          <c:x val="0.0686547382372432"/>
          <c:y val="0.142450142450142"/>
          <c:w val="0.56129887342611"/>
          <c:h val="0.804368471035138"/>
        </c:manualLayout>
      </c:layout>
      <c:pieChart>
        <c:varyColors val="1"/>
        <c:ser>
          <c:idx val="0"/>
          <c:order val="0"/>
          <c:tx>
            <c:strRef>
              <c:f>Sheet1!$B$1</c:f>
              <c:strCache>
                <c:ptCount val="1"/>
                <c:pt idx="0">
                  <c:v>一般公共预算财政拨款支出决算结构图</c:v>
                </c:pt>
              </c:strCache>
            </c:strRef>
          </c:tx>
          <c:explosion val="27"/>
          <c:dPt>
            <c:idx val="0"/>
            <c:bubble3D val="0"/>
            <c:explosion val="1"/>
            <c:spPr>
              <a:solidFill>
                <a:schemeClr val="accent1"/>
              </a:solidFill>
              <a:ln>
                <a:noFill/>
              </a:ln>
              <a:effectLst>
                <a:outerShdw blurRad="254000" sx="102000" sy="102000" algn="ctr" rotWithShape="0">
                  <a:prstClr val="black">
                    <a:alpha val="20000"/>
                  </a:prstClr>
                </a:outerShdw>
              </a:effectLst>
              <a:sp3d/>
            </c:spPr>
          </c:dPt>
          <c:dPt>
            <c:idx val="1"/>
            <c:bubble3D val="0"/>
            <c:explosion val="0"/>
            <c:spPr>
              <a:solidFill>
                <a:schemeClr val="accent2"/>
              </a:solidFill>
              <a:ln>
                <a:noFill/>
              </a:ln>
              <a:effectLst>
                <a:outerShdw blurRad="254000" sx="102000" sy="102000" algn="ctr" rotWithShape="0">
                  <a:prstClr val="black">
                    <a:alpha val="20000"/>
                  </a:prstClr>
                </a:outerShdw>
              </a:effectLst>
              <a:sp3d/>
            </c:spPr>
          </c:dPt>
          <c:dPt>
            <c:idx val="2"/>
            <c:bubble3D val="0"/>
            <c:explosion val="0"/>
            <c:spPr>
              <a:solidFill>
                <a:schemeClr val="accent3"/>
              </a:solidFill>
              <a:ln>
                <a:noFill/>
              </a:ln>
              <a:effectLst>
                <a:outerShdw blurRad="254000" sx="102000" sy="102000" algn="ctr" rotWithShape="0">
                  <a:prstClr val="black">
                    <a:alpha val="20000"/>
                  </a:prstClr>
                </a:outerShdw>
              </a:effectLst>
              <a:sp3d/>
            </c:spPr>
          </c:dPt>
          <c:dPt>
            <c:idx val="3"/>
            <c:bubble3D val="0"/>
            <c:explosion val="0"/>
            <c:spPr>
              <a:solidFill>
                <a:schemeClr val="accent4"/>
              </a:solidFill>
              <a:ln>
                <a:noFill/>
              </a:ln>
              <a:effectLst>
                <a:outerShdw blurRad="254000" sx="102000" sy="102000" algn="ctr" rotWithShape="0">
                  <a:prstClr val="black">
                    <a:alpha val="20000"/>
                  </a:prstClr>
                </a:outerShdw>
              </a:effectLst>
              <a:sp3d/>
            </c:spPr>
          </c:dPt>
          <c:dPt>
            <c:idx val="4"/>
            <c:bubble3D val="0"/>
            <c:explosion val="0"/>
          </c:dPt>
          <c:dLbls>
            <c:dLbl>
              <c:idx val="1"/>
              <c:layout>
                <c:manualLayout>
                  <c:x val="-0.00762501108832569"/>
                  <c:y val="0.0024831938742699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52984455471893"/>
                  <c:y val="-0.020308828917752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0255433279587567"/>
                  <c:y val="-0.040195616573569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Sheet1!$A$2:$A$6</c:f>
              <c:strCache>
                <c:ptCount val="5"/>
                <c:pt idx="0">
                  <c:v>一般公共服务支出</c:v>
                </c:pt>
                <c:pt idx="1">
                  <c:v>社会保障和就业支出</c:v>
                </c:pt>
                <c:pt idx="2">
                  <c:v>医疗卫生与计划生育支出</c:v>
                </c:pt>
                <c:pt idx="3">
                  <c:v>住房保障支出</c:v>
                </c:pt>
                <c:pt idx="4">
                  <c:v>资源勘探信息等支出</c:v>
                </c:pt>
              </c:strCache>
            </c:strRef>
          </c:cat>
          <c:val>
            <c:numRef>
              <c:f>Sheet1!$B$2:$B$6</c:f>
              <c:numCache>
                <c:formatCode>0.00_ </c:formatCode>
                <c:ptCount val="5"/>
                <c:pt idx="0">
                  <c:v>634.15</c:v>
                </c:pt>
                <c:pt idx="1">
                  <c:v>48.68</c:v>
                </c:pt>
                <c:pt idx="2">
                  <c:v>26.29</c:v>
                </c:pt>
                <c:pt idx="3">
                  <c:v>31.28</c:v>
                </c:pt>
                <c:pt idx="4">
                  <c:v>361.91</c:v>
                </c:pt>
              </c:numCache>
            </c:numRef>
          </c:val>
        </c:ser>
        <c:dLbls>
          <c:showLegendKey val="0"/>
          <c:showVal val="0"/>
          <c:showCatName val="0"/>
          <c:showSerName val="0"/>
          <c:showPercent val="1"/>
          <c:showBubbleSize val="0"/>
          <c:showLeaderLines val="1"/>
        </c:dLbls>
        <c:firstSliceAng val="59"/>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0848460987831067"/>
          <c:y val="0.136"/>
          <c:w val="0.52703672371532"/>
          <c:h val="0.541153805774278"/>
        </c:manualLayout>
      </c:layout>
      <c:barChart>
        <c:barDir val="col"/>
        <c:grouping val="clustered"/>
        <c:varyColors val="0"/>
        <c:ser>
          <c:idx val="0"/>
          <c:order val="0"/>
          <c:tx>
            <c:strRef>
              <c:f>Sheet1!$B$1</c:f>
              <c:strCache>
                <c:ptCount val="1"/>
                <c:pt idx="0">
                  <c:v>“三公”经费财政拨款支出结构图</c:v>
                </c:pt>
              </c:strCache>
            </c:strRef>
          </c:tx>
          <c:spPr>
            <a:solidFill>
              <a:schemeClr val="accent1">
                <a:alpha val="85000"/>
              </a:schemeClr>
            </a:solidFill>
            <a:ln w="9525" cap="flat" cmpd="sng" algn="ctr">
              <a:solidFill>
                <a:schemeClr val="lt1">
                  <a:alpha val="50000"/>
                </a:schemeClr>
              </a:solidFill>
              <a:round/>
            </a:ln>
            <a:effectLst/>
          </c:spPr>
          <c:invertIfNegative val="0"/>
          <c:dLbls>
            <c:dLbl>
              <c:idx val="2"/>
              <c:layout/>
              <c:tx>
                <c:rich>
                  <a:bodyPr rot="0" spcFirstLastPara="1"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r>
                      <a:rPr lang="en-US" altLang="zh-CN"/>
                      <a:t>100%</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50000"/>
                          <a:lumOff val="50000"/>
                        </a:schemeClr>
                      </a:solidFill>
                      <a:prstDash val="solid"/>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1.4</c:v>
                </c:pt>
              </c:numCache>
            </c:numRef>
          </c:val>
        </c:ser>
        <c:dLbls>
          <c:showLegendKey val="0"/>
          <c:showVal val="1"/>
          <c:showCatName val="0"/>
          <c:showSerName val="0"/>
          <c:showPercent val="0"/>
          <c:showBubbleSize val="0"/>
        </c:dLbls>
        <c:gapWidth val="75"/>
        <c:axId val="268323072"/>
        <c:axId val="284835840"/>
      </c:barChart>
      <c:catAx>
        <c:axId val="2683230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284835840"/>
        <c:crosses val="autoZero"/>
        <c:auto val="1"/>
        <c:lblAlgn val="ctr"/>
        <c:lblOffset val="100"/>
        <c:noMultiLvlLbl val="0"/>
      </c:catAx>
      <c:valAx>
        <c:axId val="2848358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prstDash val="solid"/>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68323072"/>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1441</Words>
  <Characters>8219</Characters>
  <Lines>68</Lines>
  <Paragraphs>19</Paragraphs>
  <TotalTime>2</TotalTime>
  <ScaleCrop>false</ScaleCrop>
  <LinksUpToDate>false</LinksUpToDate>
  <CharactersWithSpaces>9641</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叶</cp:lastModifiedBy>
  <cp:lastPrinted>2019-09-17T03:51:00Z</cp:lastPrinted>
  <dcterms:modified xsi:type="dcterms:W3CDTF">2019-09-18T04:46:48Z</dcterms:modified>
  <dc:title>四川省***</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