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bookmarkEnd w:id="0"/>
    <w:p>
      <w:pPr>
        <w:adjustRightInd w:val="0"/>
        <w:snapToGrid w:val="0"/>
        <w:spacing w:line="360" w:lineRule="auto"/>
        <w:jc w:val="center"/>
        <w:outlineLvl w:val="0"/>
        <w:rPr>
          <w:rFonts w:hint="eastAsia" w:ascii="方正粗黑宋简体" w:hAnsi="方正粗黑宋简体" w:eastAsia="方正粗黑宋简体" w:cs="方正粗黑宋简体"/>
          <w:color w:val="000000"/>
          <w:sz w:val="72"/>
          <w:szCs w:val="72"/>
        </w:rPr>
      </w:pPr>
      <w:bookmarkStart w:id="1" w:name="_Toc15396597"/>
      <w:bookmarkStart w:id="2" w:name="_Toc15377193"/>
      <w:bookmarkStart w:id="3" w:name="_Toc15378441"/>
      <w:bookmarkStart w:id="4" w:name="_Toc15396475"/>
      <w:bookmarkStart w:id="5" w:name="_Toc15377425"/>
      <w:r>
        <w:rPr>
          <w:rFonts w:hint="eastAsia" w:ascii="方正粗黑宋简体" w:hAnsi="方正粗黑宋简体" w:eastAsia="方正粗黑宋简体" w:cs="方正粗黑宋简体"/>
          <w:color w:val="000000"/>
          <w:sz w:val="72"/>
          <w:szCs w:val="72"/>
        </w:rPr>
        <w:t>2018年度</w:t>
      </w:r>
      <w:bookmarkEnd w:id="1"/>
      <w:bookmarkEnd w:id="2"/>
      <w:bookmarkEnd w:id="3"/>
      <w:bookmarkEnd w:id="4"/>
      <w:bookmarkEnd w:id="5"/>
    </w:p>
    <w:p>
      <w:pPr>
        <w:adjustRightInd w:val="0"/>
        <w:snapToGrid w:val="0"/>
        <w:spacing w:line="360" w:lineRule="auto"/>
        <w:jc w:val="center"/>
        <w:outlineLvl w:val="0"/>
        <w:rPr>
          <w:rFonts w:hint="eastAsia" w:ascii="方正粗黑宋简体" w:hAnsi="方正粗黑宋简体" w:eastAsia="方正粗黑宋简体" w:cs="方正粗黑宋简体"/>
          <w:color w:val="000000"/>
          <w:sz w:val="72"/>
          <w:szCs w:val="72"/>
          <w:lang w:val="en-US" w:eastAsia="zh-CN"/>
        </w:rPr>
      </w:pPr>
      <w:bookmarkStart w:id="6" w:name="_Toc15378442"/>
      <w:bookmarkStart w:id="7" w:name="_Toc15377194"/>
      <w:bookmarkStart w:id="8" w:name="_Toc15396476"/>
      <w:bookmarkStart w:id="9" w:name="_Toc15377426"/>
      <w:bookmarkStart w:id="10" w:name="_Toc15396598"/>
      <w:r>
        <w:rPr>
          <w:rFonts w:hint="eastAsia" w:ascii="方正粗黑宋简体" w:hAnsi="方正粗黑宋简体" w:eastAsia="方正粗黑宋简体" w:cs="方正粗黑宋简体"/>
          <w:color w:val="000000"/>
          <w:sz w:val="72"/>
          <w:szCs w:val="72"/>
        </w:rPr>
        <w:t>四川省</w:t>
      </w:r>
      <w:bookmarkStart w:id="11" w:name="_Toc15306268"/>
      <w:r>
        <w:rPr>
          <w:rFonts w:hint="eastAsia" w:ascii="方正粗黑宋简体" w:hAnsi="方正粗黑宋简体" w:eastAsia="方正粗黑宋简体" w:cs="方正粗黑宋简体"/>
          <w:color w:val="000000"/>
          <w:sz w:val="72"/>
          <w:szCs w:val="72"/>
          <w:lang w:val="en-US" w:eastAsia="zh-CN"/>
        </w:rPr>
        <w:t>达州市达川区市政工程管理处</w:t>
      </w:r>
      <w:r>
        <w:rPr>
          <w:rFonts w:hint="eastAsia" w:ascii="方正粗黑宋简体" w:hAnsi="方正粗黑宋简体" w:eastAsia="方正粗黑宋简体" w:cs="方正粗黑宋简体"/>
          <w:color w:val="000000"/>
          <w:sz w:val="72"/>
          <w:szCs w:val="72"/>
        </w:rPr>
        <w:t>决算</w:t>
      </w:r>
      <w:bookmarkEnd w:id="6"/>
      <w:bookmarkEnd w:id="7"/>
      <w:bookmarkEnd w:id="8"/>
      <w:bookmarkEnd w:id="9"/>
      <w:bookmarkEnd w:id="10"/>
      <w:bookmarkEnd w:id="11"/>
      <w:r>
        <w:rPr>
          <w:rFonts w:hint="eastAsia" w:ascii="方正粗黑宋简体" w:hAnsi="方正粗黑宋简体" w:eastAsia="方正粗黑宋简体" w:cs="方正粗黑宋简体"/>
          <w:color w:val="000000"/>
          <w:sz w:val="72"/>
          <w:szCs w:val="72"/>
          <w:lang w:val="en-US" w:eastAsia="zh-CN"/>
        </w:rPr>
        <w:t>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公开时间：2019年8月29日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snapToGrid w:val="0"/>
        <w:spacing w:line="588" w:lineRule="exact"/>
        <w:ind w:firstLine="640" w:firstLineChars="200"/>
        <w:rPr>
          <w:rFonts w:ascii="仿宋_GB2312" w:hAnsi="仿宋" w:eastAsia="仿宋_GB2312"/>
          <w:sz w:val="32"/>
          <w:szCs w:val="32"/>
        </w:rPr>
      </w:pPr>
      <w:bookmarkStart w:id="16" w:name="_Toc15377198"/>
      <w:bookmarkStart w:id="17" w:name="_Toc15378445"/>
      <w:r>
        <w:rPr>
          <w:rFonts w:hint="eastAsia" w:ascii="仿宋_GB2312" w:hAnsi="仿宋" w:eastAsia="仿宋_GB2312"/>
          <w:sz w:val="32"/>
          <w:szCs w:val="32"/>
        </w:rPr>
        <w:t>1．主要职能：主要负责城市市政基础设施（人行道、车行道、路灯、人行天桥、及下水雨污管网、涵洞等）的建设和维护。</w:t>
      </w:r>
    </w:p>
    <w:p>
      <w:pPr>
        <w:snapToGrid w:val="0"/>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2．机构人员情况：事业编制105人，在职96人，退休14人。</w:t>
      </w:r>
    </w:p>
    <w:p>
      <w:pPr>
        <w:snapToGrid w:val="0"/>
        <w:spacing w:line="588" w:lineRule="exact"/>
        <w:ind w:firstLine="640" w:firstLineChars="200"/>
        <w:rPr>
          <w:rFonts w:ascii="仿宋" w:hAnsi="仿宋" w:eastAsia="仿宋"/>
          <w:bCs/>
          <w:color w:val="000000"/>
          <w:sz w:val="32"/>
          <w:szCs w:val="32"/>
        </w:rPr>
      </w:pPr>
      <w:r>
        <w:rPr>
          <w:rFonts w:hint="eastAsia" w:ascii="仿宋_GB2312" w:hAnsi="仿宋" w:eastAsia="仿宋_GB2312"/>
          <w:sz w:val="32"/>
          <w:szCs w:val="32"/>
        </w:rPr>
        <w:t>3．机构人员当年变动情况及原因：去年在职99人，退休3人</w:t>
      </w:r>
      <w:bookmarkEnd w:id="16"/>
      <w:bookmarkEnd w:id="17"/>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18" w:name="_Toc15377204"/>
      <w:bookmarkStart w:id="19"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18"/>
      <w:bookmarkEnd w:id="19"/>
    </w:p>
    <w:p/>
    <w:p>
      <w:pPr>
        <w:pStyle w:val="23"/>
        <w:numPr>
          <w:ilvl w:val="0"/>
          <w:numId w:val="1"/>
        </w:numPr>
        <w:spacing w:line="600" w:lineRule="exact"/>
        <w:ind w:firstLineChars="0"/>
        <w:outlineLvl w:val="1"/>
        <w:rPr>
          <w:rStyle w:val="25"/>
          <w:rFonts w:ascii="黑体" w:hAnsi="黑体" w:eastAsia="黑体"/>
          <w:b w:val="0"/>
        </w:rPr>
      </w:pPr>
      <w:bookmarkStart w:id="20" w:name="_Toc15396603"/>
      <w:bookmarkStart w:id="21" w:name="_Toc15377205"/>
      <w:r>
        <w:rPr>
          <w:rFonts w:hint="eastAsia" w:ascii="黑体" w:hAnsi="黑体" w:eastAsia="黑体"/>
          <w:color w:val="000000"/>
          <w:sz w:val="32"/>
          <w:szCs w:val="32"/>
        </w:rPr>
        <w:t>收</w:t>
      </w:r>
      <w:r>
        <w:rPr>
          <w:rStyle w:val="25"/>
          <w:rFonts w:hint="eastAsia" w:ascii="黑体" w:hAnsi="黑体" w:eastAsia="黑体"/>
          <w:b w:val="0"/>
        </w:rPr>
        <w:t>入支出决算情况说明</w:t>
      </w:r>
      <w:bookmarkEnd w:id="20"/>
      <w:bookmarkEnd w:id="21"/>
    </w:p>
    <w:p>
      <w:pPr>
        <w:spacing w:line="600" w:lineRule="exact"/>
        <w:ind w:firstLine="640" w:firstLineChars="200"/>
        <w:outlineLvl w:val="1"/>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8年本年收入合计5986.83万元，其中：一般公共预算财政拨款收入1053.42万元，占17</w:t>
      </w:r>
      <w:r>
        <w:rPr>
          <w:rFonts w:ascii="仿宋" w:hAnsi="仿宋" w:eastAsia="仿宋"/>
          <w:color w:val="000000"/>
          <w:sz w:val="32"/>
          <w:szCs w:val="32"/>
        </w:rPr>
        <w:t>%</w:t>
      </w:r>
      <w:r>
        <w:rPr>
          <w:rFonts w:hint="eastAsia" w:ascii="仿宋" w:hAnsi="仿宋" w:eastAsia="仿宋"/>
          <w:color w:val="000000"/>
          <w:sz w:val="32"/>
          <w:szCs w:val="32"/>
        </w:rPr>
        <w:t>；政府性基金预算财政拨款收入4933.41万元，占83</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2" w:name="_Toc15396605"/>
      <w:bookmarkStart w:id="23"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2"/>
      <w:bookmarkEnd w:id="23"/>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8年本年支出合计6428.63万元，其中：基本支出1053.42万元，占16</w:t>
      </w:r>
      <w:r>
        <w:rPr>
          <w:rFonts w:ascii="仿宋" w:hAnsi="仿宋" w:eastAsia="仿宋"/>
          <w:color w:val="000000"/>
          <w:sz w:val="32"/>
          <w:szCs w:val="32"/>
        </w:rPr>
        <w:t>%</w:t>
      </w:r>
      <w:r>
        <w:rPr>
          <w:rFonts w:hint="eastAsia" w:ascii="仿宋" w:hAnsi="仿宋" w:eastAsia="仿宋"/>
          <w:color w:val="000000"/>
          <w:sz w:val="32"/>
          <w:szCs w:val="32"/>
        </w:rPr>
        <w:t>；项目支出5375.21万元，占84</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24" w:name="_Toc15396606"/>
      <w:bookmarkStart w:id="25" w:name="_Toc15377208"/>
      <w:r>
        <w:rPr>
          <w:rFonts w:hint="eastAsia" w:ascii="黑体" w:hAnsi="黑体" w:eastAsia="黑体"/>
          <w:color w:val="000000"/>
          <w:sz w:val="32"/>
          <w:szCs w:val="32"/>
        </w:rPr>
        <w:t>三、财</w:t>
      </w:r>
      <w:r>
        <w:rPr>
          <w:rStyle w:val="25"/>
          <w:rFonts w:hint="eastAsia" w:ascii="黑体" w:hAnsi="黑体" w:eastAsia="黑体"/>
          <w:b w:val="0"/>
        </w:rPr>
        <w:t>政拨款收入支出决算总体情况说明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8年财政拨款收入5986.83万元，支总计6428.63万元。与</w:t>
      </w:r>
      <w:r>
        <w:rPr>
          <w:rFonts w:ascii="仿宋" w:hAnsi="仿宋" w:eastAsia="仿宋"/>
          <w:color w:val="000000"/>
          <w:sz w:val="32"/>
          <w:szCs w:val="32"/>
        </w:rPr>
        <w:t>201</w:t>
      </w:r>
      <w:r>
        <w:rPr>
          <w:rFonts w:hint="eastAsia" w:ascii="仿宋" w:hAnsi="仿宋" w:eastAsia="仿宋"/>
          <w:color w:val="000000"/>
          <w:sz w:val="32"/>
          <w:szCs w:val="32"/>
        </w:rPr>
        <w:t>7年相比，财政拨款收入减少63万，支总计增加627.4万元，支出增长10</w:t>
      </w:r>
      <w:r>
        <w:rPr>
          <w:rFonts w:ascii="仿宋" w:hAnsi="仿宋" w:eastAsia="仿宋"/>
          <w:color w:val="000000"/>
          <w:sz w:val="32"/>
          <w:szCs w:val="32"/>
        </w:rPr>
        <w:t>%</w:t>
      </w:r>
      <w:r>
        <w:rPr>
          <w:rFonts w:hint="eastAsia" w:ascii="仿宋" w:hAnsi="仿宋" w:eastAsia="仿宋"/>
          <w:color w:val="000000"/>
          <w:sz w:val="32"/>
          <w:szCs w:val="32"/>
        </w:rPr>
        <w:t>。主要变动原因是新增了人行道塌陷应急工程。</w:t>
      </w:r>
    </w:p>
    <w:p>
      <w:pPr>
        <w:spacing w:line="600" w:lineRule="exact"/>
        <w:ind w:firstLine="640" w:firstLineChars="200"/>
        <w:outlineLvl w:val="1"/>
        <w:rPr>
          <w:rStyle w:val="25"/>
          <w:rFonts w:ascii="黑体" w:hAnsi="黑体" w:eastAsia="黑体"/>
          <w:b w:val="0"/>
        </w:rPr>
      </w:pPr>
      <w:bookmarkStart w:id="26" w:name="_Toc15377209"/>
      <w:bookmarkStart w:id="27" w:name="_Toc15396607"/>
      <w:r>
        <w:rPr>
          <w:rFonts w:hint="eastAsia" w:ascii="黑体" w:hAnsi="黑体" w:eastAsia="黑体"/>
          <w:color w:val="000000"/>
          <w:sz w:val="32"/>
          <w:szCs w:val="32"/>
        </w:rPr>
        <w:t>四、</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color w:val="000000"/>
          <w:sz w:val="32"/>
          <w:szCs w:val="32"/>
        </w:rPr>
      </w:pPr>
      <w:bookmarkStart w:id="28" w:name="_Toc15377210"/>
      <w:r>
        <w:rPr>
          <w:rFonts w:hint="eastAsia" w:ascii="仿宋" w:hAnsi="仿宋" w:eastAsia="仿宋"/>
          <w:b/>
          <w:color w:val="000000"/>
          <w:sz w:val="32"/>
          <w:szCs w:val="32"/>
        </w:rPr>
        <w:t>（一）一般公共预算财政拨款支出决算总体情况</w:t>
      </w:r>
      <w:bookmarkEnd w:id="28"/>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8年一般公共预算财政拨款支出1053.42万元，占本年支出合计的16</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7年相比，一般公共预算财政拨款增加627.4万元，增长10</w:t>
      </w:r>
      <w:r>
        <w:rPr>
          <w:rFonts w:ascii="仿宋" w:hAnsi="仿宋" w:eastAsia="仿宋"/>
          <w:color w:val="000000"/>
          <w:sz w:val="32"/>
          <w:szCs w:val="32"/>
        </w:rPr>
        <w:t>%</w:t>
      </w:r>
      <w:r>
        <w:rPr>
          <w:rFonts w:hint="eastAsia" w:ascii="仿宋" w:hAnsi="仿宋" w:eastAsia="仿宋"/>
          <w:color w:val="000000"/>
          <w:sz w:val="32"/>
          <w:szCs w:val="32"/>
        </w:rPr>
        <w:t>。主要变动原因是新增了应急工程。</w:t>
      </w:r>
    </w:p>
    <w:p>
      <w:pPr>
        <w:spacing w:line="600" w:lineRule="exact"/>
        <w:ind w:firstLine="643" w:firstLineChars="200"/>
        <w:outlineLvl w:val="2"/>
        <w:rPr>
          <w:rFonts w:ascii="仿宋" w:hAnsi="仿宋" w:eastAsia="仿宋"/>
          <w:b/>
          <w:color w:val="000000"/>
          <w:sz w:val="32"/>
          <w:szCs w:val="32"/>
        </w:rPr>
      </w:pPr>
      <w:bookmarkStart w:id="29" w:name="_Toc15377211"/>
      <w:r>
        <w:rPr>
          <w:rFonts w:hint="eastAsia" w:ascii="仿宋" w:hAnsi="仿宋" w:eastAsia="仿宋"/>
          <w:b/>
          <w:color w:val="000000"/>
          <w:sz w:val="32"/>
          <w:szCs w:val="32"/>
        </w:rPr>
        <w:t>（二）一般公共预算财政拨款支出决算结构情况</w:t>
      </w:r>
      <w:bookmarkEnd w:id="29"/>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政拨款支出1053.42万元，主要用于以下方面</w:t>
      </w:r>
      <w:r>
        <w:rPr>
          <w:rFonts w:ascii="仿宋" w:hAnsi="仿宋" w:eastAsia="仿宋"/>
          <w:color w:val="000000" w:themeColor="text1"/>
          <w:sz w:val="32"/>
          <w:szCs w:val="32"/>
        </w:rPr>
        <w:t>:</w:t>
      </w:r>
      <w:r>
        <w:rPr>
          <w:rFonts w:hint="eastAsia" w:ascii="仿宋" w:hAnsi="仿宋" w:eastAsia="仿宋"/>
          <w:color w:val="000000" w:themeColor="text1"/>
          <w:sz w:val="32"/>
          <w:szCs w:val="32"/>
          <w:lang w:val="en-US" w:eastAsia="zh-CN"/>
        </w:rPr>
        <w:t>城乡社区</w:t>
      </w:r>
      <w:r>
        <w:rPr>
          <w:rFonts w:hint="eastAsia" w:ascii="仿宋" w:hAnsi="仿宋" w:eastAsia="仿宋"/>
          <w:color w:val="000000" w:themeColor="text1"/>
          <w:sz w:val="32"/>
          <w:szCs w:val="32"/>
        </w:rPr>
        <w:t>支出851.88万元，占80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支出103.16万元，占10</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；医疗卫生支出37.88万元，占4</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；住房保障支出60.51万元，占6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0" w:name="_Toc15377212"/>
      <w:r>
        <w:rPr>
          <w:rFonts w:hint="eastAsia" w:ascii="仿宋" w:hAnsi="仿宋" w:eastAsia="仿宋"/>
          <w:b/>
          <w:color w:val="000000"/>
          <w:sz w:val="32"/>
          <w:szCs w:val="32"/>
        </w:rPr>
        <w:t>（三）一般公共预算财政拨款支出决算具体情况</w:t>
      </w:r>
      <w:bookmarkEnd w:id="30"/>
    </w:p>
    <w:p>
      <w:pPr>
        <w:spacing w:line="600" w:lineRule="exact"/>
        <w:ind w:firstLine="643" w:firstLineChars="200"/>
        <w:outlineLvl w:val="2"/>
        <w:rPr>
          <w:rStyle w:val="14"/>
          <w:rFonts w:hint="eastAsia" w:ascii="仿宋" w:hAnsi="仿宋" w:eastAsia="仿宋"/>
          <w:bCs/>
          <w:color w:val="000000"/>
          <w:sz w:val="32"/>
          <w:szCs w:val="32"/>
        </w:rPr>
      </w:pPr>
      <w:bookmarkStart w:id="31" w:name="_Toc15377444"/>
      <w:bookmarkStart w:id="32" w:name="_Toc15377213"/>
      <w:bookmarkStart w:id="33" w:name="_Toc15378460"/>
      <w:r>
        <w:rPr>
          <w:rFonts w:hint="eastAsia" w:ascii="仿宋" w:hAnsi="仿宋" w:eastAsia="仿宋"/>
          <w:b/>
          <w:color w:val="000000" w:themeColor="text1"/>
          <w:sz w:val="32"/>
          <w:szCs w:val="32"/>
        </w:rPr>
        <w:t>2018年一般公共预算支出决算数为1053.42</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1"/>
      <w:bookmarkEnd w:id="32"/>
      <w:bookmarkEnd w:id="33"/>
    </w:p>
    <w:p>
      <w:pPr>
        <w:numPr>
          <w:ilvl w:val="0"/>
          <w:numId w:val="2"/>
        </w:numPr>
        <w:spacing w:line="600" w:lineRule="exact"/>
        <w:ind w:firstLine="643" w:firstLineChars="200"/>
        <w:outlineLvl w:val="2"/>
        <w:rPr>
          <w:rStyle w:val="14"/>
          <w:rFonts w:ascii="仿宋" w:hAnsi="仿宋" w:eastAsia="仿宋"/>
          <w:bCs/>
          <w:color w:val="000000"/>
          <w:sz w:val="32"/>
          <w:szCs w:val="32"/>
        </w:rPr>
      </w:pPr>
      <w:r>
        <w:rPr>
          <w:rStyle w:val="14"/>
          <w:rFonts w:hint="eastAsia" w:ascii="仿宋" w:hAnsi="仿宋" w:eastAsia="仿宋"/>
          <w:bCs/>
          <w:color w:val="000000"/>
          <w:sz w:val="32"/>
          <w:szCs w:val="32"/>
          <w:lang w:val="en-US" w:eastAsia="zh-CN"/>
        </w:rPr>
        <w:t>城乡社区支出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城乡社区公共设施</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小城镇基础设施建设（</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支出决算为851.88万元，完成预算100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r>
        <w:rPr>
          <w:rStyle w:val="14"/>
          <w:rFonts w:ascii="仿宋" w:hAnsi="仿宋" w:eastAsia="仿宋"/>
          <w:bCs/>
          <w:color w:val="000000"/>
          <w:sz w:val="32"/>
          <w:szCs w:val="32"/>
        </w:rPr>
        <w:t>.</w:t>
      </w:r>
    </w:p>
    <w:p>
      <w:pPr>
        <w:numPr>
          <w:ilvl w:val="0"/>
          <w:numId w:val="2"/>
        </w:numPr>
        <w:spacing w:line="600" w:lineRule="exact"/>
        <w:ind w:firstLine="643" w:firstLineChars="200"/>
        <w:outlineLvl w:val="2"/>
        <w:rPr>
          <w:rStyle w:val="14"/>
          <w:rFonts w:ascii="仿宋" w:hAnsi="仿宋" w:eastAsia="仿宋"/>
          <w:bCs/>
          <w:color w:val="000000"/>
          <w:sz w:val="32"/>
          <w:szCs w:val="32"/>
        </w:rPr>
      </w:pPr>
      <w:r>
        <w:rPr>
          <w:rStyle w:val="14"/>
          <w:rFonts w:hint="eastAsia" w:ascii="仿宋" w:hAnsi="仿宋" w:eastAsia="仿宋"/>
          <w:bCs/>
          <w:color w:val="000000"/>
          <w:sz w:val="32"/>
          <w:szCs w:val="32"/>
        </w:rPr>
        <w:t>社会保障和就业支出（类）行政事业单位离退休（款）机关事业单位基本养老保险费支出（项）: 支出决算为</w:t>
      </w:r>
      <w:r>
        <w:rPr>
          <w:rStyle w:val="14"/>
          <w:rFonts w:hint="eastAsia" w:ascii="仿宋" w:hAnsi="仿宋" w:eastAsia="仿宋"/>
          <w:bCs/>
          <w:color w:val="000000"/>
          <w:sz w:val="32"/>
          <w:szCs w:val="32"/>
          <w:lang w:val="en-US" w:eastAsia="zh-CN"/>
        </w:rPr>
        <w:t>95.23</w:t>
      </w:r>
      <w:r>
        <w:rPr>
          <w:rStyle w:val="14"/>
          <w:rFonts w:hint="eastAsia" w:ascii="仿宋" w:hAnsi="仿宋" w:eastAsia="仿宋"/>
          <w:bCs/>
          <w:color w:val="000000"/>
          <w:sz w:val="32"/>
          <w:szCs w:val="32"/>
        </w:rPr>
        <w:t>万元，完成预算100%，决算数等于预算数</w:t>
      </w:r>
      <w:r>
        <w:rPr>
          <w:rStyle w:val="14"/>
          <w:rFonts w:hint="eastAsia" w:ascii="仿宋" w:hAnsi="仿宋" w:eastAsia="仿宋"/>
          <w:bCs/>
          <w:color w:val="000000"/>
          <w:sz w:val="32"/>
          <w:szCs w:val="32"/>
          <w:lang w:val="en-US" w:eastAsia="zh-CN"/>
        </w:rPr>
        <w:t>.</w:t>
      </w:r>
    </w:p>
    <w:p>
      <w:pPr>
        <w:numPr>
          <w:ilvl w:val="0"/>
          <w:numId w:val="2"/>
        </w:numPr>
        <w:spacing w:line="600" w:lineRule="exact"/>
        <w:ind w:firstLine="643" w:firstLineChars="200"/>
        <w:outlineLvl w:val="2"/>
        <w:rPr>
          <w:rFonts w:ascii="仿宋" w:hAnsi="仿宋" w:eastAsia="仿宋"/>
          <w:b/>
          <w:color w:val="000000"/>
          <w:sz w:val="32"/>
          <w:szCs w:val="32"/>
        </w:rPr>
      </w:pPr>
      <w:r>
        <w:rPr>
          <w:rStyle w:val="14"/>
          <w:rFonts w:hint="eastAsia" w:ascii="仿宋" w:hAnsi="仿宋" w:eastAsia="仿宋"/>
          <w:bCs/>
          <w:color w:val="000000"/>
          <w:sz w:val="32"/>
          <w:szCs w:val="32"/>
        </w:rPr>
        <w:t>社会保障和就业支出（类）行政事业单位离退休（款）机关事业单位职业年金缴费支出（项）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7.93</w:t>
      </w:r>
      <w:r>
        <w:rPr>
          <w:rStyle w:val="14"/>
          <w:rFonts w:hint="eastAsia" w:ascii="仿宋" w:hAnsi="仿宋" w:eastAsia="仿宋"/>
          <w:b w:val="0"/>
          <w:bCs/>
          <w:color w:val="000000"/>
          <w:sz w:val="32"/>
          <w:szCs w:val="32"/>
        </w:rPr>
        <w:t>万元，完成预算1</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000000"/>
          <w:sz w:val="32"/>
          <w:szCs w:val="32"/>
          <w:lang w:val="en-US" w:eastAsia="zh-CN"/>
        </w:rPr>
        <w:t>.</w:t>
      </w:r>
    </w:p>
    <w:p>
      <w:pPr>
        <w:spacing w:line="600" w:lineRule="exact"/>
        <w:ind w:firstLine="643" w:firstLineChars="200"/>
        <w:rPr>
          <w:rStyle w:val="14"/>
          <w:rFonts w:hint="eastAsia" w:ascii="仿宋" w:hAnsi="仿宋" w:eastAsia="仿宋"/>
          <w:b w:val="0"/>
          <w:bCs/>
          <w:color w:val="000000"/>
          <w:sz w:val="32"/>
          <w:szCs w:val="32"/>
          <w:lang w:val="en-US" w:eastAsia="zh-CN"/>
        </w:rPr>
      </w:pPr>
      <w:r>
        <w:rPr>
          <w:rStyle w:val="14"/>
          <w:rFonts w:hint="eastAsia" w:ascii="仿宋" w:hAnsi="仿宋" w:eastAsia="仿宋"/>
          <w:bCs/>
          <w:color w:val="000000"/>
          <w:sz w:val="32"/>
          <w:szCs w:val="32"/>
          <w:lang w:val="en-US" w:eastAsia="zh-CN"/>
        </w:rPr>
        <w:t>4</w:t>
      </w:r>
      <w:r>
        <w:rPr>
          <w:rStyle w:val="14"/>
          <w:rFonts w:hint="eastAsia" w:ascii="仿宋" w:hAnsi="仿宋" w:eastAsia="仿宋"/>
          <w:bCs/>
          <w:color w:val="000000"/>
          <w:sz w:val="32"/>
          <w:szCs w:val="32"/>
        </w:rPr>
        <w:t xml:space="preserve"> </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w:t>
      </w:r>
      <w:r>
        <w:rPr>
          <w:rStyle w:val="14"/>
          <w:rFonts w:hint="eastAsia" w:ascii="仿宋" w:hAnsi="仿宋" w:eastAsia="仿宋"/>
          <w:bCs/>
          <w:color w:val="000000"/>
          <w:sz w:val="32"/>
          <w:szCs w:val="32"/>
          <w:lang w:val="en-US" w:eastAsia="zh-CN"/>
        </w:rPr>
        <w:t>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行政事业单位医疗</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事业单位医疗</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支出决算为37.88万元，完成预算100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r>
        <w:rPr>
          <w:rStyle w:val="14"/>
          <w:rFonts w:hint="eastAsia" w:ascii="仿宋" w:hAnsi="仿宋" w:eastAsia="仿宋"/>
          <w:b w:val="0"/>
          <w:bCs/>
          <w:color w:val="000000"/>
          <w:sz w:val="32"/>
          <w:szCs w:val="32"/>
          <w:lang w:val="en-US" w:eastAsia="zh-CN"/>
        </w:rPr>
        <w:t>.</w:t>
      </w:r>
    </w:p>
    <w:p>
      <w:pPr>
        <w:spacing w:line="600" w:lineRule="exact"/>
        <w:ind w:firstLine="640" w:firstLineChars="200"/>
        <w:rPr>
          <w:rStyle w:val="14"/>
          <w:rFonts w:hint="eastAsia" w:ascii="仿宋" w:hAnsi="仿宋" w:eastAsia="仿宋"/>
          <w:b w:val="0"/>
          <w:bCs/>
          <w:color w:val="000000"/>
          <w:sz w:val="32"/>
          <w:szCs w:val="32"/>
          <w:lang w:val="en-US" w:eastAsia="zh-CN"/>
        </w:rPr>
      </w:pPr>
      <w:r>
        <w:rPr>
          <w:rStyle w:val="14"/>
          <w:rFonts w:hint="eastAsia" w:ascii="仿宋" w:hAnsi="仿宋" w:eastAsia="仿宋"/>
          <w:b w:val="0"/>
          <w:bCs/>
          <w:color w:val="000000"/>
          <w:sz w:val="32"/>
          <w:szCs w:val="32"/>
          <w:lang w:val="en-US" w:eastAsia="zh-CN"/>
        </w:rPr>
        <w:t>5、</w:t>
      </w:r>
      <w:r>
        <w:rPr>
          <w:rStyle w:val="14"/>
          <w:rFonts w:hint="eastAsia" w:ascii="仿宋" w:hAnsi="仿宋" w:eastAsia="仿宋" w:cs="Times New Roman"/>
          <w:bCs/>
          <w:color w:val="000000"/>
          <w:sz w:val="32"/>
          <w:szCs w:val="32"/>
          <w:lang w:val="en-US" w:eastAsia="zh-CN"/>
        </w:rPr>
        <w:t>住房保障支出</w:t>
      </w:r>
      <w:r>
        <w:rPr>
          <w:rStyle w:val="14"/>
          <w:rFonts w:hint="eastAsia" w:ascii="仿宋" w:hAnsi="仿宋" w:eastAsia="仿宋" w:cs="Times New Roman"/>
          <w:bCs/>
          <w:color w:val="000000"/>
          <w:sz w:val="32"/>
          <w:szCs w:val="32"/>
        </w:rPr>
        <w:t>（类）</w:t>
      </w:r>
      <w:r>
        <w:rPr>
          <w:rStyle w:val="14"/>
          <w:rFonts w:hint="eastAsia" w:ascii="仿宋" w:hAnsi="仿宋" w:eastAsia="仿宋" w:cs="Times New Roman"/>
          <w:bCs/>
          <w:color w:val="000000"/>
          <w:sz w:val="32"/>
          <w:szCs w:val="32"/>
          <w:lang w:val="en-US" w:eastAsia="zh-CN"/>
        </w:rPr>
        <w:t>住房改革支出</w:t>
      </w:r>
      <w:r>
        <w:rPr>
          <w:rStyle w:val="14"/>
          <w:rFonts w:hint="eastAsia" w:ascii="仿宋" w:hAnsi="仿宋" w:eastAsia="仿宋" w:cs="Times New Roman"/>
          <w:bCs/>
          <w:color w:val="000000"/>
          <w:sz w:val="32"/>
          <w:szCs w:val="32"/>
        </w:rPr>
        <w:t>（款）</w:t>
      </w:r>
      <w:r>
        <w:rPr>
          <w:rStyle w:val="14"/>
          <w:rFonts w:hint="eastAsia" w:ascii="仿宋" w:hAnsi="仿宋" w:eastAsia="仿宋" w:cs="Times New Roman"/>
          <w:bCs/>
          <w:color w:val="000000"/>
          <w:sz w:val="32"/>
          <w:szCs w:val="32"/>
          <w:lang w:val="en-US" w:eastAsia="zh-CN"/>
        </w:rPr>
        <w:t>住房公积金</w:t>
      </w:r>
      <w:r>
        <w:rPr>
          <w:rStyle w:val="14"/>
          <w:rFonts w:hint="eastAsia" w:ascii="仿宋" w:hAnsi="仿宋" w:eastAsia="仿宋" w:cs="Times New Roman"/>
          <w:bCs/>
          <w:color w:val="000000"/>
          <w:sz w:val="32"/>
          <w:szCs w:val="32"/>
        </w:rPr>
        <w:t>（项）</w:t>
      </w:r>
      <w:r>
        <w:rPr>
          <w:rStyle w:val="14"/>
          <w:rFonts w:ascii="仿宋" w:hAnsi="仿宋" w:eastAsia="仿宋" w:cs="Times New Roman"/>
          <w:bCs/>
          <w:color w:val="000000"/>
          <w:sz w:val="32"/>
          <w:szCs w:val="32"/>
        </w:rPr>
        <w:t>:</w:t>
      </w:r>
      <w:r>
        <w:rPr>
          <w:rStyle w:val="14"/>
          <w:rFonts w:hint="eastAsia" w:ascii="仿宋" w:hAnsi="仿宋" w:eastAsia="仿宋" w:cs="Times New Roman"/>
          <w:b w:val="0"/>
          <w:bCs/>
          <w:color w:val="000000"/>
          <w:sz w:val="32"/>
          <w:szCs w:val="32"/>
        </w:rPr>
        <w:t>支出决算为</w:t>
      </w:r>
      <w:r>
        <w:rPr>
          <w:rStyle w:val="14"/>
          <w:rFonts w:hint="eastAsia" w:ascii="仿宋" w:hAnsi="仿宋" w:eastAsia="仿宋" w:cs="Times New Roman"/>
          <w:b w:val="0"/>
          <w:bCs/>
          <w:color w:val="000000"/>
          <w:sz w:val="32"/>
          <w:szCs w:val="32"/>
          <w:lang w:val="en-US" w:eastAsia="zh-CN"/>
        </w:rPr>
        <w:t>60.51</w:t>
      </w:r>
      <w:r>
        <w:rPr>
          <w:rStyle w:val="14"/>
          <w:rFonts w:hint="eastAsia" w:ascii="仿宋" w:hAnsi="仿宋" w:eastAsia="仿宋" w:cs="Times New Roman"/>
          <w:b w:val="0"/>
          <w:bCs/>
          <w:color w:val="000000"/>
          <w:sz w:val="32"/>
          <w:szCs w:val="32"/>
        </w:rPr>
        <w:t>万元，完成预算</w:t>
      </w:r>
      <w:r>
        <w:rPr>
          <w:rStyle w:val="14"/>
          <w:rFonts w:hint="eastAsia" w:ascii="仿宋" w:hAnsi="仿宋" w:eastAsia="仿宋" w:cs="Times New Roman"/>
          <w:b w:val="0"/>
          <w:bCs/>
          <w:color w:val="000000"/>
          <w:sz w:val="32"/>
          <w:szCs w:val="32"/>
          <w:lang w:val="en-US" w:eastAsia="zh-CN"/>
        </w:rPr>
        <w:t>100</w:t>
      </w:r>
      <w:r>
        <w:rPr>
          <w:rStyle w:val="14"/>
          <w:rFonts w:ascii="仿宋" w:hAnsi="仿宋" w:eastAsia="仿宋" w:cs="Times New Roman"/>
          <w:b w:val="0"/>
          <w:bCs/>
          <w:color w:val="000000"/>
          <w:sz w:val="32"/>
          <w:szCs w:val="32"/>
        </w:rPr>
        <w:t>%</w:t>
      </w:r>
      <w:r>
        <w:rPr>
          <w:rStyle w:val="14"/>
          <w:rFonts w:hint="eastAsia" w:ascii="仿宋" w:hAnsi="仿宋" w:eastAsia="仿宋" w:cs="Times New Roman"/>
          <w:b w:val="0"/>
          <w:bCs/>
          <w:color w:val="000000"/>
          <w:sz w:val="32"/>
          <w:szCs w:val="32"/>
        </w:rPr>
        <w:t>，决算数等于预算数</w:t>
      </w:r>
      <w:r>
        <w:rPr>
          <w:rStyle w:val="14"/>
          <w:rFonts w:hint="eastAsia" w:ascii="仿宋" w:hAnsi="仿宋" w:eastAsia="仿宋" w:cs="Times New Roman"/>
          <w:b w:val="0"/>
          <w:bCs/>
          <w:color w:val="000000"/>
          <w:sz w:val="32"/>
          <w:szCs w:val="32"/>
          <w:lang w:eastAsia="zh-CN"/>
        </w:rPr>
        <w:t>。</w:t>
      </w:r>
    </w:p>
    <w:p>
      <w:pPr>
        <w:tabs>
          <w:tab w:val="right" w:pos="8306"/>
        </w:tabs>
        <w:spacing w:line="600" w:lineRule="exact"/>
        <w:ind w:firstLine="640"/>
        <w:outlineLvl w:val="1"/>
        <w:rPr>
          <w:rStyle w:val="25"/>
        </w:rPr>
      </w:pPr>
      <w:bookmarkStart w:id="34" w:name="_Toc15396608"/>
      <w:bookmarkStart w:id="35" w:name="_Toc15377214"/>
      <w:r>
        <w:rPr>
          <w:rFonts w:hint="eastAsia" w:ascii="黑体" w:eastAsia="黑体"/>
          <w:color w:val="000000"/>
          <w:sz w:val="32"/>
          <w:szCs w:val="32"/>
        </w:rPr>
        <w:t>五</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8年一般公共预算财政拨款基本支出1007.68万元，其中：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987.14万元，主要包括：基本工资319.18万元、津贴补贴10.16万元、奖金171.76万元、伙食补助费18.67万元、绩效工资245.54万元、机关事业单位基本养老保险缴费95.23万元、职业年金缴费7.97万元、其他社会保障缴费6.19万元、其他工资福利支出6.19万元、医疗保险费37.88万元、住房公积金60.51万元、其他对个人和家庭的补助支出7.48万元等。</w:t>
      </w:r>
      <w:r>
        <w:rPr>
          <w:rFonts w:ascii="仿宋" w:hAnsi="仿宋" w:eastAsia="仿宋"/>
          <w:color w:val="000000"/>
          <w:sz w:val="32"/>
          <w:szCs w:val="32"/>
        </w:rPr>
        <w:br w:type="textWrapping"/>
      </w:r>
      <w:r>
        <w:rPr>
          <w:rFonts w:hint="eastAsia" w:ascii="仿宋" w:hAnsi="仿宋" w:eastAsia="仿宋"/>
          <w:color w:val="000000"/>
          <w:sz w:val="32"/>
          <w:szCs w:val="32"/>
        </w:rPr>
        <w:t>　　公用经费66.28万元，主要包括：办公费7.42万元、水费0.37万元、电费1.93万元、邮电费3.53万元、差旅费13.95万元、工会经费20.4、福利费、公务用车运行维护费0.73万元、其他商品和服务支出16.41万元、办公设备购置1.54万元。</w:t>
      </w:r>
    </w:p>
    <w:p>
      <w:pPr>
        <w:spacing w:line="600" w:lineRule="exact"/>
        <w:ind w:firstLine="640"/>
        <w:rPr>
          <w:rFonts w:ascii="仿宋" w:hAnsi="仿宋" w:eastAsia="仿宋"/>
          <w:b/>
          <w:color w:val="FF0000"/>
          <w:sz w:val="32"/>
          <w:szCs w:val="32"/>
        </w:rPr>
      </w:pPr>
    </w:p>
    <w:p>
      <w:pPr>
        <w:spacing w:line="600" w:lineRule="exact"/>
        <w:ind w:firstLine="640"/>
        <w:outlineLvl w:val="1"/>
        <w:rPr>
          <w:rStyle w:val="25"/>
          <w:rFonts w:ascii="黑体" w:hAnsi="黑体" w:eastAsia="黑体"/>
          <w:b w:val="0"/>
        </w:rPr>
      </w:pPr>
      <w:bookmarkStart w:id="36" w:name="_Toc15377215"/>
      <w:bookmarkStart w:id="37" w:name="_Toc15396609"/>
      <w:r>
        <w:rPr>
          <w:rFonts w:hint="eastAsia" w:ascii="黑体" w:eastAsia="黑体"/>
          <w:color w:val="000000"/>
          <w:sz w:val="32"/>
          <w:szCs w:val="32"/>
        </w:rPr>
        <w:t>六、</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color w:val="000000"/>
          <w:sz w:val="32"/>
          <w:szCs w:val="32"/>
        </w:rPr>
      </w:pPr>
      <w:bookmarkStart w:id="38" w:name="_Toc15377216"/>
      <w:r>
        <w:rPr>
          <w:rFonts w:hint="eastAsia" w:ascii="仿宋" w:hAnsi="仿宋" w:eastAsia="仿宋"/>
          <w:b/>
          <w:color w:val="000000"/>
          <w:sz w:val="32"/>
          <w:szCs w:val="32"/>
        </w:rPr>
        <w:t>（一）“三公”经费财政拨款支出决算总体情况说明</w:t>
      </w:r>
      <w:bookmarkEnd w:id="3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8年“三公”经费财政拨款支出决算为0.73万元，完成预算95</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，决算数小于预算数的主要原因是节约开支。</w:t>
      </w:r>
    </w:p>
    <w:p>
      <w:pPr>
        <w:spacing w:line="600" w:lineRule="exact"/>
        <w:ind w:firstLine="640"/>
        <w:outlineLvl w:val="2"/>
        <w:rPr>
          <w:rFonts w:ascii="仿宋" w:hAnsi="仿宋" w:eastAsia="仿宋"/>
          <w:b/>
          <w:color w:val="000000"/>
          <w:sz w:val="32"/>
          <w:szCs w:val="32"/>
        </w:rPr>
      </w:pPr>
      <w:bookmarkStart w:id="39" w:name="_Toc15377217"/>
      <w:r>
        <w:rPr>
          <w:rFonts w:hint="eastAsia" w:ascii="仿宋" w:hAnsi="仿宋" w:eastAsia="仿宋"/>
          <w:b/>
          <w:color w:val="000000"/>
          <w:sz w:val="32"/>
          <w:szCs w:val="32"/>
        </w:rPr>
        <w:t>（二）“三公”经费财政拨款支出决算具体情况说明</w:t>
      </w:r>
      <w:bookmarkEnd w:id="3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；公务用车购置及运行维护费支出决算0.73万元，占100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开支内容包括：…（团组名称、出访地点、取得成效）等。</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0.73万元,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减少0.07万元，</w:t>
      </w:r>
      <w:r>
        <w:rPr>
          <w:rFonts w:ascii="仿宋_GB2312" w:eastAsia="仿宋_GB2312"/>
          <w:color w:val="000000"/>
          <w:sz w:val="32"/>
          <w:szCs w:val="32"/>
        </w:rPr>
        <w:t xml:space="preserve"> </w:t>
      </w:r>
      <w:r>
        <w:rPr>
          <w:rFonts w:hint="eastAsia" w:ascii="仿宋_GB2312" w:eastAsia="仿宋_GB2312"/>
          <w:color w:val="000000"/>
          <w:sz w:val="32"/>
          <w:szCs w:val="32"/>
        </w:rPr>
        <w:t>下降8</w:t>
      </w:r>
      <w:r>
        <w:rPr>
          <w:rFonts w:ascii="仿宋_GB2312" w:eastAsia="仿宋_GB2312"/>
          <w:color w:val="000000"/>
          <w:sz w:val="32"/>
          <w:szCs w:val="32"/>
        </w:rPr>
        <w:t>%</w:t>
      </w:r>
      <w:r>
        <w:rPr>
          <w:rFonts w:hint="eastAsia" w:ascii="仿宋_GB2312" w:eastAsia="仿宋_GB2312"/>
          <w:color w:val="000000"/>
          <w:sz w:val="32"/>
          <w:szCs w:val="32"/>
        </w:rPr>
        <w:t>。主要原因是节约开支。</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0万元。全年按规定更新购置公务用车0辆，其中：轿车0辆、金额0万元，越野车0辆、金额0万元，载客汽车0辆、金额0万元，主要用于…。截至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月底，单位共有公务用车0辆，其中：轿车0辆、越野车0辆、载客汽车0辆。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0.73万元。主要用于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主要用于执行公务、开展业务活动开支的交通费、住宿费、用餐费等。国内公务接待0批次，0人次（不包括陪同人员），共计支出0万元，具体内容包括：…（接待具体项目、金额）。其中：</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，外事接待0批次，0人，共计支出0万元，主要用于接待</w:t>
      </w:r>
      <w:r>
        <w:rPr>
          <w:rFonts w:ascii="仿宋_GB2312" w:eastAsia="仿宋_GB2312"/>
          <w:color w:val="000000" w:themeColor="text1"/>
          <w:sz w:val="32"/>
          <w:szCs w:val="32"/>
        </w:rPr>
        <w:t>…</w:t>
      </w:r>
      <w:r>
        <w:rPr>
          <w:rFonts w:hint="eastAsia" w:ascii="仿宋_GB2312" w:eastAsia="仿宋_GB2312"/>
          <w:color w:val="000000" w:themeColor="text1"/>
          <w:sz w:val="32"/>
          <w:szCs w:val="32"/>
        </w:rPr>
        <w:t>（具体项目）。主要用于……</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万元，主要用于……</w:t>
      </w:r>
    </w:p>
    <w:p>
      <w:pPr>
        <w:spacing w:line="600" w:lineRule="exact"/>
        <w:ind w:firstLine="640"/>
        <w:outlineLvl w:val="1"/>
        <w:rPr>
          <w:rFonts w:ascii="黑体" w:eastAsia="黑体"/>
          <w:color w:val="000000"/>
          <w:sz w:val="32"/>
          <w:szCs w:val="32"/>
        </w:rPr>
      </w:pPr>
      <w:bookmarkStart w:id="40" w:name="_Toc15377218"/>
      <w:bookmarkStart w:id="41"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七、</w:t>
      </w:r>
      <w:r>
        <w:rPr>
          <w:rStyle w:val="25"/>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8年政府性基金预算拨款支出4933.41万元。</w:t>
      </w:r>
    </w:p>
    <w:p>
      <w:pPr>
        <w:spacing w:line="600" w:lineRule="exact"/>
        <w:ind w:firstLine="640"/>
        <w:rPr>
          <w:rFonts w:ascii="仿宋_GB2312" w:eastAsia="仿宋_GB2312"/>
          <w:color w:val="000000"/>
          <w:sz w:val="32"/>
          <w:szCs w:val="32"/>
        </w:rPr>
      </w:pPr>
    </w:p>
    <w:p>
      <w:pPr>
        <w:spacing w:line="600" w:lineRule="exact"/>
        <w:ind w:firstLine="640" w:firstLineChars="200"/>
        <w:outlineLvl w:val="1"/>
        <w:rPr>
          <w:rStyle w:val="25"/>
          <w:rFonts w:ascii="黑体" w:hAnsi="黑体" w:eastAsia="黑体"/>
          <w:b w:val="0"/>
        </w:rPr>
      </w:pPr>
      <w:bookmarkStart w:id="42" w:name="_Toc15377219"/>
      <w:bookmarkStart w:id="43" w:name="_Toc15396611"/>
      <w:r>
        <w:rPr>
          <w:rStyle w:val="25"/>
          <w:rFonts w:hint="eastAsia" w:ascii="黑体" w:hAnsi="黑体" w:eastAsia="黑体"/>
          <w:b w:val="0"/>
        </w:rPr>
        <w:t>八、国有资本经营预算支出决算情况说明</w:t>
      </w:r>
      <w:bookmarkEnd w:id="42"/>
      <w:bookmarkEnd w:id="4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根据预算绩效管理要求，本部门（单位）在年初预算编制阶段，组织对个项目开展了预算事前绩效评估，对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本部门按要求对2018年部门整体支出开展绩效自评，从评价情况来看…………（简要说明整体绩效情况）。本部门还自行组织了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个项目绩效评价，从评价情况来看…………（简要说明项目绩效情况）。</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个项目绩效目标实际完成情况。（本单位部门项目绩效目标个数在5个以上的，选取5个项目进行公开，目标个数在5个以下的，全部进行公开，公开内容包括完成情况综述和完成情况表）。</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%。通过项目实施，保障（支持、促进、提高……）了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(按照项目总体目标简要描述项目成效），发现的主要问题：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val="en-US" w:eastAsia="zh-CN"/>
        </w:rPr>
        <w:t>0</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项目绩效目标完成情况综述。项目全年预算数XXX万元，执行数为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%。通过项目实施，保障（支持、促进、提高……）了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(按照项目总体目标简要描述项目成效），发现的主要问题：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val="en-US" w:eastAsia="zh-CN"/>
        </w:rPr>
        <w:t>0</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%。通过项目实施，保障（支持、促进、提高……）了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(按照项目总体目标简要描述项目成效），发现的主要问题：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val="en-US" w:eastAsia="zh-CN"/>
        </w:rPr>
        <w:t>0</w:t>
      </w: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本部门按要求对2018年部门整体支出绩效评价情况开展自评，《部门2018年部门整体支出绩效评价报告》见附件。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项目开展了绩效评价，《项目2018年绩效评价报告》见附件。（非涉密部门均需公开部门整体支出评价报告，部门自行组织的绩效评价情况根据部门实际公开）</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44" w:name="_Toc15396612"/>
      <w:bookmarkStart w:id="45"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color w:val="000000"/>
          <w:sz w:val="32"/>
          <w:szCs w:val="32"/>
        </w:rPr>
      </w:pPr>
      <w:bookmarkStart w:id="46" w:name="_Toc15377222"/>
      <w:r>
        <w:rPr>
          <w:rFonts w:hint="eastAsia" w:ascii="仿宋" w:hAnsi="仿宋" w:eastAsia="仿宋"/>
          <w:b/>
          <w:color w:val="000000"/>
          <w:sz w:val="32"/>
          <w:szCs w:val="32"/>
        </w:rPr>
        <w:t>（一）机关运行经费支出情况</w:t>
      </w:r>
      <w:bookmarkEnd w:id="46"/>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（或与</w:t>
      </w:r>
      <w:r>
        <w:rPr>
          <w:rFonts w:ascii="仿宋_GB2312" w:eastAsia="仿宋_GB2312"/>
          <w:color w:val="000000"/>
          <w:sz w:val="32"/>
          <w:szCs w:val="32"/>
        </w:rPr>
        <w:t>201</w:t>
      </w:r>
      <w:r>
        <w:rPr>
          <w:rFonts w:hint="eastAsia" w:ascii="仿宋_GB2312" w:eastAsia="仿宋_GB2312"/>
          <w:color w:val="000000"/>
          <w:sz w:val="32"/>
          <w:szCs w:val="32"/>
        </w:rPr>
        <w:t>7年决算数持平）。</w:t>
      </w:r>
      <w:r>
        <w:rPr>
          <w:rFonts w:hint="eastAsia" w:ascii="仿宋_GB2312" w:eastAsia="仿宋_GB2312"/>
          <w:color w:val="000000" w:themeColor="text1"/>
          <w:sz w:val="32"/>
          <w:szCs w:val="32"/>
        </w:rPr>
        <w:t>主要原因是……</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7" w:name="_Toc15377223"/>
      <w:r>
        <w:rPr>
          <w:rFonts w:hint="eastAsia" w:ascii="仿宋" w:hAnsi="仿宋" w:eastAsia="仿宋"/>
          <w:b/>
          <w:color w:val="000000"/>
          <w:sz w:val="32"/>
          <w:szCs w:val="32"/>
        </w:rPr>
        <w:t>（二）政府采购支出情况</w:t>
      </w:r>
      <w:bookmarkEnd w:id="47"/>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分散政府采购支出总额1.54万元，其中：政府采购货物支出1.54万元、政府采购工程支出0万元、政府采购服务支出0万元。主要用于办公电脑、打印机、桌椅、文件柜的购置。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8" w:name="_Toc15377224"/>
      <w:r>
        <w:rPr>
          <w:rFonts w:hint="eastAsia" w:ascii="仿宋" w:hAnsi="仿宋" w:eastAsia="仿宋"/>
          <w:b/>
          <w:color w:val="000000"/>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日，市政共有车辆9辆，其中：部级领导干部用车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辆、一般公务用车1辆、一般执法执勤用车</w:t>
      </w:r>
      <w:r>
        <w:rPr>
          <w:rFonts w:hint="eastAsia" w:ascii="仿宋_GB2312" w:eastAsia="仿宋_GB2312"/>
          <w:color w:val="000000"/>
          <w:sz w:val="32"/>
          <w:szCs w:val="32"/>
          <w:lang w:val="en-US" w:eastAsia="zh-CN"/>
        </w:rPr>
        <w:t>0</w:t>
      </w:r>
      <w:bookmarkStart w:id="70" w:name="_GoBack"/>
      <w:bookmarkEnd w:id="70"/>
      <w:r>
        <w:rPr>
          <w:rFonts w:hint="eastAsia" w:ascii="仿宋_GB2312" w:eastAsia="仿宋_GB2312"/>
          <w:color w:val="000000"/>
          <w:sz w:val="32"/>
          <w:szCs w:val="32"/>
        </w:rPr>
        <w:t>辆、特种专业技术用车5辆、</w:t>
      </w:r>
      <w:r>
        <w:rPr>
          <w:rFonts w:hint="eastAsia" w:ascii="仿宋_GB2312" w:eastAsia="仿宋_GB2312"/>
          <w:color w:val="000000" w:themeColor="text1"/>
          <w:sz w:val="32"/>
          <w:szCs w:val="32"/>
        </w:rPr>
        <w:t>其他用车主要是用于路灯建设维护及下水管网的疏通，</w:t>
      </w:r>
      <w:r>
        <w:rPr>
          <w:rFonts w:hint="eastAsia" w:ascii="仿宋_GB2312" w:eastAsia="仿宋_GB2312"/>
          <w:color w:val="000000"/>
          <w:sz w:val="32"/>
          <w:szCs w:val="32"/>
        </w:rPr>
        <w:t>其他用车3辆，主要用于市政基础设施的巡查管理。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4"/>
          <w:rFonts w:ascii="黑体" w:hAnsi="黑体" w:eastAsia="黑体"/>
          <w:b w:val="0"/>
        </w:rPr>
      </w:pPr>
      <w:bookmarkStart w:id="49" w:name="_Toc15396613"/>
      <w:bookmarkStart w:id="50"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社会保障和就业支出（类）行政事业单位离退休（款）机关事业单位</w:t>
      </w:r>
      <w:r>
        <w:rPr>
          <w:rFonts w:hint="eastAsia" w:ascii="仿宋_GB2312" w:eastAsia="仿宋_GB2312"/>
          <w:color w:val="000000"/>
          <w:sz w:val="32"/>
          <w:szCs w:val="32"/>
          <w:lang w:val="en-US" w:eastAsia="zh-CN"/>
        </w:rPr>
        <w:t>职业年金</w:t>
      </w:r>
      <w:r>
        <w:rPr>
          <w:rFonts w:hint="eastAsia" w:ascii="仿宋_GB2312" w:eastAsia="仿宋_GB2312"/>
          <w:color w:val="000000"/>
          <w:sz w:val="32"/>
          <w:szCs w:val="32"/>
        </w:rPr>
        <w:t>缴费支出（项）:指</w:t>
      </w:r>
      <w:r>
        <w:rPr>
          <w:rFonts w:hint="eastAsia" w:ascii="仿宋_GB2312" w:eastAsia="仿宋_GB2312"/>
          <w:color w:val="000000"/>
          <w:sz w:val="32"/>
          <w:szCs w:val="32"/>
          <w:lang w:val="en-US" w:eastAsia="zh-CN"/>
        </w:rPr>
        <w:t>职业年金</w:t>
      </w:r>
      <w:r>
        <w:rPr>
          <w:rFonts w:hint="eastAsia" w:ascii="仿宋_GB2312" w:eastAsia="仿宋_GB2312"/>
          <w:color w:val="000000"/>
          <w:sz w:val="32"/>
          <w:szCs w:val="32"/>
        </w:rPr>
        <w:t>支出。</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社会保障和就业支出（类）行政事业单位离退休（款）机关事业单位基本养老保险缴费支出（项）:指养老保险支出。</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医疗卫生与计划生育支出（类）医疗保障（款）行政单位医疗（项）:指单位职工缴纳医保。</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城乡社区支出（类）城乡社区</w:t>
      </w:r>
      <w:r>
        <w:rPr>
          <w:rFonts w:hint="eastAsia" w:ascii="仿宋_GB2312" w:eastAsia="仿宋_GB2312"/>
          <w:color w:val="000000"/>
          <w:sz w:val="32"/>
          <w:szCs w:val="32"/>
          <w:lang w:val="en-US" w:eastAsia="zh-CN"/>
        </w:rPr>
        <w:t>公共设施</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小城镇基础设施建设</w:t>
      </w:r>
      <w:r>
        <w:rPr>
          <w:rFonts w:hint="eastAsia" w:ascii="仿宋_GB2312" w:eastAsia="仿宋_GB2312"/>
          <w:color w:val="000000"/>
          <w:sz w:val="32"/>
          <w:szCs w:val="32"/>
        </w:rPr>
        <w:t>（项）：指单位的基本支出，包括基本工资、津贴补贴等人员经费以及办公费、印刷费、水电费等日常公用经费。</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住房保障支出（类）住房改革支出（款）住房公积金（项）:指职工住房公积金支出</w:t>
      </w:r>
      <w:r>
        <w:rPr>
          <w:rFonts w:hint="eastAsia" w:ascii="仿宋_GB2312" w:eastAsia="仿宋_GB2312"/>
          <w:color w:val="000000"/>
          <w:sz w:val="32"/>
          <w:szCs w:val="32"/>
          <w:lang w:eastAsia="zh-CN"/>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1" w:name="_Toc15377226"/>
      <w:r>
        <w:rPr>
          <w:rFonts w:ascii="宋体"/>
          <w:b/>
          <w:color w:val="000000"/>
          <w:sz w:val="44"/>
          <w:szCs w:val="44"/>
        </w:rPr>
        <w:br w:type="page"/>
      </w:r>
      <w:bookmarkStart w:id="52"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2"/>
    </w:p>
    <w:p>
      <w:pPr>
        <w:spacing w:line="600" w:lineRule="exact"/>
        <w:jc w:val="center"/>
        <w:outlineLvl w:val="0"/>
        <w:rPr>
          <w:rStyle w:val="24"/>
        </w:rPr>
      </w:pPr>
    </w:p>
    <w:p>
      <w:pPr>
        <w:pStyle w:val="3"/>
        <w:rPr>
          <w:rStyle w:val="24"/>
          <w:rFonts w:ascii="仿宋" w:hAnsi="仿宋" w:eastAsia="仿宋"/>
          <w:b w:val="0"/>
          <w:bCs w:val="0"/>
          <w:sz w:val="32"/>
          <w:szCs w:val="32"/>
        </w:rPr>
      </w:pPr>
      <w:bookmarkStart w:id="53" w:name="_Toc15396615"/>
      <w:r>
        <w:rPr>
          <w:rStyle w:val="24"/>
          <w:rFonts w:hint="eastAsia" w:ascii="仿宋" w:hAnsi="仿宋" w:eastAsia="仿宋"/>
          <w:b w:val="0"/>
          <w:bCs w:val="0"/>
          <w:sz w:val="32"/>
          <w:szCs w:val="32"/>
        </w:rPr>
        <w:t>附件1</w:t>
      </w:r>
      <w:bookmarkEnd w:id="53"/>
    </w:p>
    <w:p>
      <w:pPr>
        <w:spacing w:line="600" w:lineRule="exact"/>
        <w:jc w:val="center"/>
        <w:outlineLvl w:val="0"/>
        <w:rPr>
          <w:rFonts w:ascii="黑体" w:hAnsi="黑体" w:eastAsia="黑体" w:cs="方正小标宋简体"/>
          <w:sz w:val="36"/>
          <w:szCs w:val="36"/>
        </w:rPr>
      </w:pPr>
      <w:bookmarkStart w:id="54" w:name="_Toc15396616"/>
      <w:r>
        <w:rPr>
          <w:rFonts w:hint="eastAsia" w:ascii="黑体" w:hAnsi="黑体" w:eastAsia="黑体" w:cs="方正小标宋简体"/>
          <w:sz w:val="36"/>
          <w:szCs w:val="36"/>
        </w:rPr>
        <w:t>XX部门2018年部门整体支出绩效评价报告</w:t>
      </w:r>
      <w:bookmarkEnd w:id="54"/>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55" w:name="_Toc15396617"/>
      <w:r>
        <w:rPr>
          <w:rStyle w:val="24"/>
          <w:rFonts w:hint="eastAsia" w:ascii="仿宋" w:hAnsi="仿宋" w:eastAsia="仿宋"/>
          <w:b w:val="0"/>
          <w:bCs w:val="0"/>
          <w:sz w:val="32"/>
          <w:szCs w:val="32"/>
        </w:rPr>
        <w:t>附件2</w:t>
      </w:r>
      <w:bookmarkEnd w:id="55"/>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4"/>
          <w:rFonts w:ascii="黑体" w:hAnsi="黑体" w:eastAsia="黑体"/>
          <w:b w:val="0"/>
        </w:rPr>
      </w:pPr>
      <w:bookmarkStart w:id="56"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1"/>
      <w:bookmarkEnd w:id="56"/>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7"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7"/>
    </w:p>
    <w:p>
      <w:pPr>
        <w:pStyle w:val="3"/>
        <w:rPr>
          <w:rFonts w:ascii="仿宋" w:hAnsi="仿宋" w:eastAsia="仿宋"/>
          <w:color w:val="000000"/>
        </w:rPr>
      </w:pPr>
      <w:bookmarkStart w:id="58"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58"/>
    </w:p>
    <w:p>
      <w:pPr>
        <w:pStyle w:val="3"/>
        <w:rPr>
          <w:rFonts w:ascii="仿宋" w:hAnsi="仿宋" w:eastAsia="仿宋"/>
          <w:color w:val="000000"/>
        </w:rPr>
      </w:pPr>
      <w:bookmarkStart w:id="59"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59"/>
    </w:p>
    <w:p>
      <w:pPr>
        <w:pStyle w:val="3"/>
        <w:rPr>
          <w:rFonts w:ascii="仿宋" w:hAnsi="仿宋" w:eastAsia="仿宋"/>
          <w:b w:val="0"/>
          <w:color w:val="000000"/>
        </w:rPr>
      </w:pPr>
      <w:bookmarkStart w:id="60"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0"/>
    </w:p>
    <w:p>
      <w:pPr>
        <w:pStyle w:val="3"/>
        <w:rPr>
          <w:rFonts w:ascii="仿宋" w:hAnsi="仿宋" w:eastAsia="仿宋"/>
          <w:color w:val="000000"/>
        </w:rPr>
      </w:pPr>
      <w:bookmarkStart w:id="61"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1"/>
    </w:p>
    <w:p>
      <w:pPr>
        <w:pStyle w:val="3"/>
        <w:rPr>
          <w:rFonts w:ascii="仿宋" w:hAnsi="仿宋" w:eastAsia="仿宋"/>
          <w:color w:val="000000"/>
        </w:rPr>
      </w:pPr>
      <w:bookmarkStart w:id="62"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2"/>
    </w:p>
    <w:p>
      <w:pPr>
        <w:pStyle w:val="3"/>
        <w:rPr>
          <w:rFonts w:ascii="仿宋" w:hAnsi="仿宋" w:eastAsia="仿宋"/>
          <w:color w:val="000000"/>
        </w:rPr>
      </w:pPr>
      <w:bookmarkStart w:id="63"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3"/>
    </w:p>
    <w:p>
      <w:pPr>
        <w:pStyle w:val="3"/>
        <w:rPr>
          <w:rFonts w:ascii="仿宋" w:hAnsi="仿宋" w:eastAsia="仿宋"/>
          <w:color w:val="000000"/>
        </w:rPr>
      </w:pPr>
      <w:bookmarkStart w:id="64"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4"/>
    </w:p>
    <w:p>
      <w:pPr>
        <w:pStyle w:val="3"/>
        <w:rPr>
          <w:rFonts w:ascii="仿宋" w:hAnsi="仿宋" w:eastAsia="仿宋"/>
          <w:color w:val="000000"/>
        </w:rPr>
      </w:pPr>
      <w:bookmarkStart w:id="65"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5"/>
    </w:p>
    <w:p>
      <w:pPr>
        <w:pStyle w:val="3"/>
        <w:rPr>
          <w:rFonts w:ascii="仿宋" w:hAnsi="仿宋" w:eastAsia="仿宋"/>
          <w:color w:val="000000"/>
        </w:rPr>
      </w:pPr>
      <w:bookmarkStart w:id="66"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6"/>
    </w:p>
    <w:p>
      <w:pPr>
        <w:pStyle w:val="3"/>
        <w:rPr>
          <w:rFonts w:ascii="仿宋" w:hAnsi="仿宋" w:eastAsia="仿宋"/>
          <w:color w:val="000000"/>
        </w:rPr>
      </w:pPr>
      <w:bookmarkStart w:id="67"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7"/>
    </w:p>
    <w:p>
      <w:pPr>
        <w:pStyle w:val="3"/>
        <w:rPr>
          <w:rFonts w:ascii="仿宋" w:hAnsi="仿宋" w:eastAsia="仿宋"/>
          <w:color w:val="000000"/>
        </w:rPr>
      </w:pPr>
      <w:bookmarkStart w:id="68"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8"/>
    </w:p>
    <w:p>
      <w:pPr>
        <w:pStyle w:val="3"/>
        <w:rPr>
          <w:rFonts w:ascii="仿宋" w:hAnsi="仿宋" w:eastAsia="仿宋"/>
          <w:color w:val="000000" w:themeColor="text1"/>
        </w:rPr>
      </w:pPr>
      <w:bookmarkStart w:id="69"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6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hakuyoxingshu7000"/>
    <w:panose1 w:val="00000000000000000000"/>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42626E43"/>
    <w:multiLevelType w:val="multilevel"/>
    <w:tmpl w:val="42626E43"/>
    <w:lvl w:ilvl="0" w:tentative="0">
      <w:start w:val="9"/>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5D2AF93B"/>
    <w:multiLevelType w:val="singleLevel"/>
    <w:tmpl w:val="5D2AF93B"/>
    <w:lvl w:ilvl="0" w:tentative="0">
      <w:start w:val="1"/>
      <w:numFmt w:val="decimal"/>
      <w:suff w:val="space"/>
      <w:lvlText w:val="%1、"/>
      <w:lvlJc w:val="left"/>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254A2"/>
    <w:rsid w:val="0006487A"/>
    <w:rsid w:val="00065F8F"/>
    <w:rsid w:val="00074768"/>
    <w:rsid w:val="000768F2"/>
    <w:rsid w:val="0009184B"/>
    <w:rsid w:val="00091C20"/>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46951"/>
    <w:rsid w:val="003667DF"/>
    <w:rsid w:val="0037013F"/>
    <w:rsid w:val="00380C92"/>
    <w:rsid w:val="003A484F"/>
    <w:rsid w:val="003B0BE0"/>
    <w:rsid w:val="003B0C1B"/>
    <w:rsid w:val="003B688C"/>
    <w:rsid w:val="003C0291"/>
    <w:rsid w:val="003C39AE"/>
    <w:rsid w:val="003C7B60"/>
    <w:rsid w:val="003D1B98"/>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C7176"/>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E3A2B"/>
    <w:rsid w:val="006F020C"/>
    <w:rsid w:val="007127B7"/>
    <w:rsid w:val="00734F5E"/>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1F28"/>
    <w:rsid w:val="008939CD"/>
    <w:rsid w:val="008B768C"/>
    <w:rsid w:val="008C4DB1"/>
    <w:rsid w:val="008C4EAF"/>
    <w:rsid w:val="008C5176"/>
    <w:rsid w:val="008C7FD0"/>
    <w:rsid w:val="008E1DE7"/>
    <w:rsid w:val="008E224A"/>
    <w:rsid w:val="008E707C"/>
    <w:rsid w:val="00900B08"/>
    <w:rsid w:val="00902155"/>
    <w:rsid w:val="00902FA3"/>
    <w:rsid w:val="00906994"/>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9F49C7"/>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AF358A"/>
    <w:rsid w:val="00B03C9D"/>
    <w:rsid w:val="00B060AE"/>
    <w:rsid w:val="00B10517"/>
    <w:rsid w:val="00B14E76"/>
    <w:rsid w:val="00B161B8"/>
    <w:rsid w:val="00B2048C"/>
    <w:rsid w:val="00B310B9"/>
    <w:rsid w:val="00B35F3F"/>
    <w:rsid w:val="00B36CBB"/>
    <w:rsid w:val="00B425E0"/>
    <w:rsid w:val="00B440AA"/>
    <w:rsid w:val="00B44B70"/>
    <w:rsid w:val="00B53C56"/>
    <w:rsid w:val="00B669C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0929"/>
    <w:rsid w:val="00C91CBB"/>
    <w:rsid w:val="00CC09B6"/>
    <w:rsid w:val="00CC588F"/>
    <w:rsid w:val="00CC666F"/>
    <w:rsid w:val="00CD1E3F"/>
    <w:rsid w:val="00CE44F6"/>
    <w:rsid w:val="00CE49DA"/>
    <w:rsid w:val="00CE7B61"/>
    <w:rsid w:val="00D00095"/>
    <w:rsid w:val="00D20620"/>
    <w:rsid w:val="00D26091"/>
    <w:rsid w:val="00D34E7C"/>
    <w:rsid w:val="00D35489"/>
    <w:rsid w:val="00D51276"/>
    <w:rsid w:val="00D6543F"/>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0886"/>
    <w:rsid w:val="00ED1B63"/>
    <w:rsid w:val="00ED3C1F"/>
    <w:rsid w:val="00ED4085"/>
    <w:rsid w:val="00ED420E"/>
    <w:rsid w:val="00EE2F57"/>
    <w:rsid w:val="00EF454F"/>
    <w:rsid w:val="00EF4C34"/>
    <w:rsid w:val="00EF77C6"/>
    <w:rsid w:val="00F05438"/>
    <w:rsid w:val="00F1361C"/>
    <w:rsid w:val="00F160C7"/>
    <w:rsid w:val="00F1612E"/>
    <w:rsid w:val="00F36D8F"/>
    <w:rsid w:val="00F417B1"/>
    <w:rsid w:val="00F602DF"/>
    <w:rsid w:val="00F81FD9"/>
    <w:rsid w:val="00F841AA"/>
    <w:rsid w:val="00FA23E8"/>
    <w:rsid w:val="00FD3CC1"/>
    <w:rsid w:val="00FF1E02"/>
    <w:rsid w:val="00FF30B4"/>
    <w:rsid w:val="10C055FF"/>
    <w:rsid w:val="16BB723D"/>
    <w:rsid w:val="21603F10"/>
    <w:rsid w:val="240371BF"/>
    <w:rsid w:val="29FD04D3"/>
    <w:rsid w:val="319F7F4E"/>
    <w:rsid w:val="33FE1A04"/>
    <w:rsid w:val="35F805A0"/>
    <w:rsid w:val="3D6449DC"/>
    <w:rsid w:val="641E4A94"/>
    <w:rsid w:val="656932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C083AD-AAE9-43CD-8B06-610B4439AB1C}">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20</Pages>
  <Words>1327</Words>
  <Characters>7566</Characters>
  <Lines>63</Lines>
  <Paragraphs>17</Paragraphs>
  <TotalTime>3</TotalTime>
  <ScaleCrop>false</ScaleCrop>
  <LinksUpToDate>false</LinksUpToDate>
  <CharactersWithSpaces>8876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2019-09-15T00:12:00Z</dcterms:created>
  <dc:creator>张彬茜</dc:creator>
  <cp:lastModifiedBy>Administrator</cp:lastModifiedBy>
  <cp:lastPrinted>2019-08-01T00:48:00Z</cp:lastPrinted>
  <dcterms:modified xsi:type="dcterms:W3CDTF">2019-09-18T02:28:00Z</dcterms:modified>
  <dc:title>四川省***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