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76" w:name="_GoBack"/>
      <w:bookmarkEnd w:id="76"/>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Theme="majorEastAsia" w:hAnsiTheme="majorEastAsia" w:eastAsiaTheme="majorEastAsia"/>
          <w:color w:val="000000"/>
          <w:sz w:val="72"/>
          <w:szCs w:val="72"/>
        </w:rPr>
      </w:pPr>
      <w:bookmarkStart w:id="1" w:name="_Toc15396597"/>
      <w:bookmarkStart w:id="2" w:name="_Toc15378441"/>
      <w:bookmarkStart w:id="3" w:name="_Toc15377425"/>
      <w:bookmarkStart w:id="4" w:name="_Toc15396475"/>
      <w:bookmarkStart w:id="5" w:name="_Toc15377193"/>
      <w:r>
        <w:rPr>
          <w:rFonts w:asciiTheme="majorEastAsia" w:hAnsiTheme="majorEastAsia" w:eastAsiaTheme="majorEastAsia"/>
          <w:color w:val="000000"/>
          <w:sz w:val="72"/>
          <w:szCs w:val="72"/>
        </w:rPr>
        <w:t>201</w:t>
      </w:r>
      <w:r>
        <w:rPr>
          <w:rFonts w:hint="eastAsia" w:asciiTheme="majorEastAsia" w:hAnsiTheme="majorEastAsia" w:eastAsiaTheme="majorEastAsia"/>
          <w:color w:val="000000"/>
          <w:sz w:val="72"/>
          <w:szCs w:val="72"/>
        </w:rPr>
        <w:t>8年度</w:t>
      </w:r>
      <w:bookmarkEnd w:id="1"/>
      <w:bookmarkEnd w:id="2"/>
      <w:bookmarkEnd w:id="3"/>
      <w:bookmarkEnd w:id="4"/>
      <w:bookmarkEnd w:id="5"/>
    </w:p>
    <w:p>
      <w:pPr>
        <w:adjustRightInd w:val="0"/>
        <w:snapToGrid w:val="0"/>
        <w:spacing w:line="360" w:lineRule="auto"/>
        <w:jc w:val="center"/>
        <w:outlineLvl w:val="0"/>
        <w:rPr>
          <w:rFonts w:asciiTheme="majorEastAsia" w:hAnsiTheme="majorEastAsia" w:eastAsiaTheme="majorEastAsia"/>
          <w:color w:val="000000"/>
          <w:sz w:val="72"/>
          <w:szCs w:val="72"/>
        </w:rPr>
      </w:pPr>
      <w:bookmarkStart w:id="6" w:name="_Toc15396476"/>
      <w:bookmarkStart w:id="7" w:name="_Toc15378442"/>
      <w:bookmarkStart w:id="8" w:name="_Toc15377194"/>
      <w:bookmarkStart w:id="9" w:name="_Toc15377426"/>
      <w:bookmarkStart w:id="10" w:name="_Toc15396598"/>
      <w:r>
        <w:rPr>
          <w:rFonts w:hint="eastAsia" w:asciiTheme="majorEastAsia" w:hAnsiTheme="majorEastAsia" w:eastAsiaTheme="majorEastAsia"/>
          <w:color w:val="000000"/>
          <w:sz w:val="72"/>
          <w:szCs w:val="72"/>
        </w:rPr>
        <w:t>四川省</w:t>
      </w:r>
      <w:bookmarkEnd w:id="0"/>
      <w:bookmarkStart w:id="11" w:name="_Toc15306268"/>
      <w:r>
        <w:rPr>
          <w:rFonts w:hint="eastAsia" w:asciiTheme="majorEastAsia" w:hAnsiTheme="majorEastAsia" w:eastAsiaTheme="majorEastAsia"/>
          <w:color w:val="000000"/>
          <w:sz w:val="72"/>
          <w:szCs w:val="72"/>
        </w:rPr>
        <w:t>达州市达川区堡子镇中心卫生院部门决算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10</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5</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eastAsia="仿宋"/>
          <w:lang w:val="en-US" w:eastAsia="zh-CN"/>
        </w:rPr>
      </w:pPr>
      <w:r>
        <w:fldChar w:fldCharType="begin"/>
      </w:r>
      <w:r>
        <w:instrText xml:space="preserve"> HYPERLINK \l "_Toc15396615" </w:instrText>
      </w:r>
      <w:r>
        <w:fldChar w:fldCharType="separate"/>
      </w:r>
      <w:r>
        <w:rPr>
          <w:rStyle w:val="15"/>
          <w:rFonts w:hint="eastAsia" w:ascii="仿宋" w:hAnsi="仿宋" w:eastAsia="仿宋"/>
          <w:sz w:val="28"/>
          <w:szCs w:val="28"/>
          <w:lang w:eastAsia="zh-CN"/>
        </w:rPr>
        <w:t>十、预算绩效情况说明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ind w:left="0" w:leftChars="0" w:firstLine="420" w:firstLineChars="200"/>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1</w:t>
      </w:r>
      <w:r>
        <w:fldChar w:fldCharType="end"/>
      </w:r>
      <w:r>
        <w:rPr>
          <w:rFonts w:hint="eastAsia"/>
          <w:lang w:val="en-US" w:eastAsia="zh-CN"/>
        </w:rPr>
        <w:t>7</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1</w:t>
      </w:r>
      <w:r>
        <w:fldChar w:fldCharType="end"/>
      </w:r>
      <w:r>
        <w:rPr>
          <w:rFonts w:hint="eastAsia"/>
          <w:lang w:val="en-US" w:eastAsia="zh-CN"/>
        </w:rPr>
        <w:t>9</w:t>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2</w:t>
      </w:r>
      <w:r>
        <w:fldChar w:fldCharType="end"/>
      </w:r>
      <w:r>
        <w:rPr>
          <w:rFonts w:hint="eastAsia"/>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r>
        <w:rPr>
          <w:rFonts w:ascii="黑体" w:hAnsi="黑体" w:eastAsia="黑体"/>
          <w:b/>
        </w:rPr>
        <w:br w:type="page"/>
      </w:r>
    </w:p>
    <w:p>
      <w:pPr>
        <w:widowControl/>
        <w:jc w:val="left"/>
        <w:rPr>
          <w:rFonts w:ascii="仿宋" w:hAnsi="仿宋" w:eastAsia="仿宋"/>
          <w:color w:val="000000"/>
          <w:sz w:val="24"/>
        </w:rPr>
      </w:pPr>
    </w:p>
    <w:p>
      <w:pPr>
        <w:widowControl/>
        <w:jc w:val="center"/>
        <w:rPr>
          <w:rStyle w:val="24"/>
          <w:rFonts w:hint="eastAsia" w:ascii="黑体" w:hAnsi="黑体" w:eastAsia="黑体"/>
          <w:b w:val="0"/>
          <w:bCs w:val="0"/>
        </w:rPr>
      </w:pPr>
      <w:bookmarkStart w:id="12" w:name="_Toc15377196"/>
      <w:bookmarkStart w:id="13" w:name="_Toc15396599"/>
      <w:r>
        <w:rPr>
          <w:rStyle w:val="24"/>
          <w:rFonts w:hint="eastAsia" w:ascii="黑体" w:hAnsi="黑体" w:eastAsia="黑体"/>
          <w:b w:val="0"/>
          <w:bCs w:val="0"/>
        </w:rPr>
        <w:t>第一部分 部门概况</w:t>
      </w:r>
      <w:bookmarkEnd w:id="12"/>
      <w:bookmarkEnd w:id="13"/>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spacing w:line="440" w:lineRule="exact"/>
        <w:ind w:firstLine="640" w:firstLineChars="200"/>
        <w:rPr>
          <w:rFonts w:ascii="仿宋_GB2312" w:hAnsi="宋体" w:eastAsia="仿宋_GB2312"/>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8446"/>
      <w:bookmarkStart w:id="19" w:name="_Toc15377199"/>
      <w:r>
        <w:rPr>
          <w:rFonts w:hint="eastAsia" w:ascii="仿宋_GB2312" w:hAnsi="宋体" w:eastAsia="仿宋_GB2312"/>
          <w:sz w:val="32"/>
          <w:szCs w:val="32"/>
        </w:rPr>
        <w:t>在地方政府和卫生行政部门领导下，根据党的方针、政策及市、区卫生局对社区卫生服务工作的总体要求、做好社区卫生服务行政业务工作，积极开展以保护、促进人民健康，不断提高居民生活质量为目的的卫生保健，认真落实各项卫生工作指标。开展以社区为范围，家庭为单位，健康为中心，人的生命为过程的以老年、妇女、儿童和慢性病人为重点的集预防、医疗、保健、康复、健康教育、计划生育指导为一体的综合性社区卫生服务。</w:t>
      </w:r>
    </w:p>
    <w:p>
      <w:pPr>
        <w:pStyle w:val="5"/>
        <w:adjustRightInd w:val="0"/>
        <w:snapToGrid w:val="0"/>
        <w:spacing w:before="93" w:line="600" w:lineRule="exact"/>
        <w:ind w:firstLine="672" w:firstLineChars="210"/>
        <w:rPr>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bCs/>
          <w:color w:val="000000"/>
          <w:sz w:val="32"/>
          <w:szCs w:val="32"/>
        </w:rPr>
        <w:t>2018年在区卫计局和局党组的正确领导下，我院坚持以</w:t>
      </w:r>
      <w:r>
        <w:rPr>
          <w:rFonts w:hint="eastAsia"/>
          <w:bCs/>
          <w:color w:val="000000"/>
          <w:sz w:val="32"/>
          <w:szCs w:val="32"/>
          <w:lang w:eastAsia="zh-CN"/>
        </w:rPr>
        <w:t>党的十九大精神</w:t>
      </w:r>
      <w:r>
        <w:rPr>
          <w:rFonts w:hint="eastAsia"/>
          <w:bCs/>
          <w:color w:val="000000"/>
          <w:sz w:val="32"/>
          <w:szCs w:val="32"/>
        </w:rPr>
        <w:t>为指引，全面贯彻落实科学发展观，深入学习贯彻习近平总书记系列重要讲话精神，以深化医疗卫生体制改革为契机，积极进取，勇于创新，思想稳定，团结一致，按照年初制定的工作计划，扎实开展各项工作，顺利完成本年度业务、综合管理、公共卫生服务、党风廉政建设等工作目标，社会效益不断提高。</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snapToGrid w:val="0"/>
        <w:spacing w:line="588" w:lineRule="exact"/>
        <w:ind w:firstLine="640" w:firstLineChars="200"/>
        <w:rPr>
          <w:rFonts w:ascii="仿宋_GB2312" w:hAnsi="仿宋" w:eastAsia="仿宋_GB2312"/>
          <w:sz w:val="32"/>
          <w:szCs w:val="32"/>
        </w:rPr>
      </w:pPr>
      <w:bookmarkStart w:id="22" w:name="_Toc15377204"/>
      <w:bookmarkStart w:id="23" w:name="_Toc15396602"/>
      <w:r>
        <w:rPr>
          <w:rFonts w:hint="eastAsia" w:ascii="仿宋_GB2312" w:hAnsi="仿宋" w:eastAsia="仿宋_GB2312"/>
          <w:sz w:val="32"/>
          <w:szCs w:val="32"/>
        </w:rPr>
        <w:t>1、人员情况</w:t>
      </w:r>
    </w:p>
    <w:p>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达川区堡子镇中心卫生院年末实有人数56人，其中事业专技人员42人、事业工勤人员3人、临聘人员11人（其中三支一扶2人）；退休人员23人。</w:t>
      </w:r>
    </w:p>
    <w:p>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2．机构人员当年变动情况及原因。</w:t>
      </w:r>
    </w:p>
    <w:p>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2018年我中心属区财政局预算单位。2018年年末实有在职在编人数比上年减少1人，减少原因2018年公招1人、调入1 人；调离2人、退休1人。</w:t>
      </w:r>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_GB2312" w:hAnsi="仿宋" w:eastAsia="仿宋_GB2312"/>
          <w:sz w:val="32"/>
          <w:szCs w:val="32"/>
        </w:rPr>
        <w:t>2018年收入共713.74万元，支出共649.06万元</w:t>
      </w:r>
      <w:r>
        <w:rPr>
          <w:rFonts w:hint="eastAsia" w:ascii="仿宋" w:hAnsi="仿宋" w:eastAsia="仿宋"/>
          <w:color w:val="000000"/>
          <w:sz w:val="32"/>
          <w:szCs w:val="32"/>
        </w:rPr>
        <w:t>。与2017年收入</w:t>
      </w:r>
      <w:r>
        <w:rPr>
          <w:rFonts w:hint="eastAsia" w:ascii="仿宋_GB2312" w:eastAsia="仿宋_GB2312"/>
          <w:color w:val="000000"/>
          <w:sz w:val="32"/>
          <w:szCs w:val="32"/>
        </w:rPr>
        <w:t>678.37万元</w:t>
      </w:r>
      <w:r>
        <w:rPr>
          <w:rFonts w:hint="eastAsia" w:ascii="仿宋" w:hAnsi="仿宋" w:eastAsia="仿宋"/>
          <w:color w:val="000000"/>
          <w:sz w:val="32"/>
          <w:szCs w:val="32"/>
        </w:rPr>
        <w:t>相比，收入增加35.37万元，增长5.2%，支出总计增加</w:t>
      </w:r>
      <w:r>
        <w:rPr>
          <w:rFonts w:hint="eastAsia" w:ascii="仿宋_GB2312" w:eastAsia="仿宋_GB2312"/>
          <w:color w:val="000000"/>
          <w:sz w:val="32"/>
          <w:szCs w:val="32"/>
        </w:rPr>
        <w:t>86.52</w:t>
      </w:r>
      <w:r>
        <w:rPr>
          <w:rFonts w:hint="eastAsia" w:ascii="仿宋" w:hAnsi="仿宋" w:eastAsia="仿宋"/>
          <w:color w:val="000000"/>
          <w:sz w:val="32"/>
          <w:szCs w:val="32"/>
        </w:rPr>
        <w:t>万元，增长13.3</w:t>
      </w:r>
      <w:r>
        <w:rPr>
          <w:rFonts w:ascii="仿宋" w:hAnsi="仿宋" w:eastAsia="仿宋"/>
          <w:color w:val="000000"/>
          <w:sz w:val="32"/>
          <w:szCs w:val="32"/>
        </w:rPr>
        <w:t>%</w:t>
      </w:r>
      <w:r>
        <w:rPr>
          <w:rFonts w:hint="eastAsia" w:ascii="仿宋" w:hAnsi="仿宋" w:eastAsia="仿宋"/>
          <w:color w:val="000000"/>
          <w:sz w:val="32"/>
          <w:szCs w:val="32"/>
        </w:rPr>
        <w:t>。主要变动原因是业务收入增加，以及职工工资增加所致。</w:t>
      </w:r>
    </w:p>
    <w:p>
      <w:pPr>
        <w:spacing w:line="600" w:lineRule="exact"/>
        <w:jc w:val="left"/>
        <w:rPr>
          <w:rFonts w:ascii="仿宋_GB2312" w:eastAsia="仿宋_GB2312"/>
          <w:color w:val="000000"/>
          <w:sz w:val="32"/>
          <w:szCs w:val="32"/>
        </w:rPr>
      </w:pPr>
      <w:r>
        <w:rPr>
          <w:rFonts w:ascii="仿宋_GB2312" w:eastAsia="仿宋_GB2312"/>
          <w:color w:val="000000"/>
          <w:sz w:val="32"/>
          <w:szCs w:val="32"/>
        </w:rPr>
        <w:drawing>
          <wp:anchor distT="0" distB="0" distL="114300" distR="114300" simplePos="0" relativeHeight="251664384" behindDoc="0" locked="0" layoutInCell="1" allowOverlap="1">
            <wp:simplePos x="0" y="0"/>
            <wp:positionH relativeFrom="column">
              <wp:posOffset>85725</wp:posOffset>
            </wp:positionH>
            <wp:positionV relativeFrom="paragraph">
              <wp:posOffset>206375</wp:posOffset>
            </wp:positionV>
            <wp:extent cx="5629275" cy="2762250"/>
            <wp:effectExtent l="19050" t="0" r="9525" b="0"/>
            <wp:wrapNone/>
            <wp:docPr id="8" name="图片 1" descr="C:\Users\Administrator\AppData\Roaming\Tencent\Users\156191528\QQ\WinTemp\RichOle\16495_SYLUBZC$ORT)GYY@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AppData\Roaming\Tencent\Users\156191528\QQ\WinTemp\RichOle\16495_SYLUBZC$ORT)GYY@V.png"/>
                    <pic:cNvPicPr>
                      <a:picLocks noChangeAspect="1" noChangeArrowheads="1"/>
                    </pic:cNvPicPr>
                  </pic:nvPicPr>
                  <pic:blipFill>
                    <a:blip r:embed="rId6"/>
                    <a:srcRect/>
                    <a:stretch>
                      <a:fillRect/>
                    </a:stretch>
                  </pic:blipFill>
                  <pic:spPr>
                    <a:xfrm>
                      <a:off x="0" y="0"/>
                      <a:ext cx="5629275" cy="2762250"/>
                    </a:xfrm>
                    <a:prstGeom prst="rect">
                      <a:avLst/>
                    </a:prstGeom>
                    <a:noFill/>
                    <a:ln w="9525">
                      <a:noFill/>
                      <a:miter lim="800000"/>
                      <a:headEnd/>
                      <a:tailEnd/>
                    </a:ln>
                  </pic:spPr>
                </pic:pic>
              </a:graphicData>
            </a:graphic>
          </wp:anchor>
        </w:drawing>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8年本年收入合计713.74万元，其中：一般公共预算财政拨款收入507.66万元，占71</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_GB2312" w:hAnsi="仿宋" w:eastAsia="仿宋_GB2312"/>
          <w:sz w:val="32"/>
          <w:szCs w:val="32"/>
        </w:rPr>
        <w:t>206.08</w:t>
      </w:r>
      <w:r>
        <w:rPr>
          <w:rFonts w:hint="eastAsia" w:ascii="仿宋" w:hAnsi="仿宋" w:eastAsia="仿宋"/>
          <w:color w:val="000000"/>
          <w:sz w:val="32"/>
          <w:szCs w:val="32"/>
        </w:rPr>
        <w:t>万元，占29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361950</wp:posOffset>
            </wp:positionH>
            <wp:positionV relativeFrom="paragraph">
              <wp:posOffset>238125</wp:posOffset>
            </wp:positionV>
            <wp:extent cx="5248275" cy="3162300"/>
            <wp:effectExtent l="19050" t="0" r="9525" b="0"/>
            <wp:wrapNone/>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noChangeArrowheads="1"/>
                    </pic:cNvPicPr>
                  </pic:nvPicPr>
                  <pic:blipFill>
                    <a:blip r:embed="rId7"/>
                    <a:srcRect/>
                    <a:stretch>
                      <a:fillRect/>
                    </a:stretch>
                  </pic:blipFill>
                  <pic:spPr>
                    <a:xfrm>
                      <a:off x="0" y="0"/>
                      <a:ext cx="5248275" cy="3162300"/>
                    </a:xfrm>
                    <a:prstGeom prst="rect">
                      <a:avLst/>
                    </a:prstGeom>
                    <a:noFill/>
                  </pic:spPr>
                </pic:pic>
              </a:graphicData>
            </a:graphic>
          </wp:anchor>
        </w:drawing>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_GB2312" w:hAnsi="仿宋" w:eastAsia="仿宋_GB2312"/>
          <w:sz w:val="32"/>
          <w:szCs w:val="32"/>
        </w:rPr>
        <w:t>649.06</w:t>
      </w:r>
      <w:r>
        <w:rPr>
          <w:rFonts w:hint="eastAsia" w:ascii="仿宋" w:hAnsi="仿宋" w:eastAsia="仿宋"/>
          <w:color w:val="000000"/>
          <w:sz w:val="32"/>
          <w:szCs w:val="32"/>
        </w:rPr>
        <w:t>万元，其中：基本支出525.54万元，占80.9</w:t>
      </w:r>
      <w:r>
        <w:rPr>
          <w:rFonts w:ascii="仿宋" w:hAnsi="仿宋" w:eastAsia="仿宋"/>
          <w:color w:val="000000"/>
          <w:sz w:val="32"/>
          <w:szCs w:val="32"/>
        </w:rPr>
        <w:t>%</w:t>
      </w:r>
      <w:r>
        <w:rPr>
          <w:rFonts w:hint="eastAsia" w:ascii="仿宋" w:hAnsi="仿宋" w:eastAsia="仿宋"/>
          <w:color w:val="000000"/>
          <w:sz w:val="32"/>
          <w:szCs w:val="32"/>
        </w:rPr>
        <w:t>；项目支出123.52万元，占19.1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190500</wp:posOffset>
            </wp:positionH>
            <wp:positionV relativeFrom="paragraph">
              <wp:posOffset>66675</wp:posOffset>
            </wp:positionV>
            <wp:extent cx="4838065" cy="2905125"/>
            <wp:effectExtent l="19050" t="0" r="635" b="0"/>
            <wp:wrapNone/>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noChangeArrowheads="1"/>
                    </pic:cNvPicPr>
                  </pic:nvPicPr>
                  <pic:blipFill>
                    <a:blip r:embed="rId8"/>
                    <a:srcRect/>
                    <a:stretch>
                      <a:fillRect/>
                    </a:stretch>
                  </pic:blipFill>
                  <pic:spPr>
                    <a:xfrm>
                      <a:off x="0" y="0"/>
                      <a:ext cx="4838065" cy="2905125"/>
                    </a:xfrm>
                    <a:prstGeom prst="rect">
                      <a:avLst/>
                    </a:prstGeom>
                    <a:noFill/>
                  </pic:spPr>
                </pic:pic>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8年财政拨款收入507.66万元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7年财政拨款收入</w:t>
      </w:r>
      <w:r>
        <w:rPr>
          <w:rFonts w:hint="eastAsia" w:ascii="仿宋_GB2312" w:eastAsia="仿宋_GB2312"/>
          <w:color w:val="000000"/>
          <w:sz w:val="32"/>
          <w:szCs w:val="32"/>
        </w:rPr>
        <w:t>465.01</w:t>
      </w:r>
      <w:r>
        <w:rPr>
          <w:rFonts w:hint="eastAsia" w:ascii="仿宋" w:hAnsi="仿宋" w:eastAsia="仿宋"/>
          <w:color w:val="000000"/>
          <w:sz w:val="32"/>
          <w:szCs w:val="32"/>
        </w:rPr>
        <w:t>万元年相比，财政拨款收入增加42.65万元，增长9</w:t>
      </w:r>
      <w:r>
        <w:rPr>
          <w:rFonts w:ascii="仿宋" w:hAnsi="仿宋" w:eastAsia="仿宋"/>
          <w:color w:val="000000"/>
          <w:sz w:val="32"/>
          <w:szCs w:val="32"/>
        </w:rPr>
        <w:t>%</w:t>
      </w:r>
      <w:r>
        <w:rPr>
          <w:rFonts w:hint="eastAsia" w:ascii="仿宋" w:hAnsi="仿宋" w:eastAsia="仿宋"/>
          <w:color w:val="000000"/>
          <w:sz w:val="32"/>
          <w:szCs w:val="32"/>
        </w:rPr>
        <w:t>;2018年财政拨款支出442.98万元，与</w:t>
      </w:r>
      <w:r>
        <w:rPr>
          <w:rFonts w:ascii="仿宋" w:hAnsi="仿宋" w:eastAsia="仿宋"/>
          <w:color w:val="000000"/>
          <w:sz w:val="32"/>
          <w:szCs w:val="32"/>
        </w:rPr>
        <w:t>201</w:t>
      </w:r>
      <w:r>
        <w:rPr>
          <w:rFonts w:hint="eastAsia" w:ascii="仿宋" w:hAnsi="仿宋" w:eastAsia="仿宋"/>
          <w:color w:val="000000"/>
          <w:sz w:val="32"/>
          <w:szCs w:val="32"/>
        </w:rPr>
        <w:t>7年财政拨款支出562.52减少119.54万元，下降21</w:t>
      </w:r>
      <w:r>
        <w:rPr>
          <w:rFonts w:ascii="仿宋" w:hAnsi="仿宋" w:eastAsia="仿宋"/>
          <w:color w:val="000000"/>
          <w:sz w:val="32"/>
          <w:szCs w:val="32"/>
        </w:rPr>
        <w:t>%</w:t>
      </w:r>
      <w:r>
        <w:rPr>
          <w:rFonts w:hint="eastAsia" w:ascii="仿宋" w:hAnsi="仿宋" w:eastAsia="仿宋"/>
          <w:color w:val="000000"/>
          <w:sz w:val="32"/>
          <w:szCs w:val="32"/>
        </w:rPr>
        <w:t>。主要变动原因是财政补助增加，人员工资增加，支出减少原因是财政应返还额度增加所致。</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column">
              <wp:posOffset>38100</wp:posOffset>
            </wp:positionH>
            <wp:positionV relativeFrom="paragraph">
              <wp:posOffset>228600</wp:posOffset>
            </wp:positionV>
            <wp:extent cx="5293360" cy="3401695"/>
            <wp:effectExtent l="19050" t="0" r="2540" b="0"/>
            <wp:wrapNone/>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9"/>
                    <a:srcRect/>
                    <a:stretch>
                      <a:fillRect/>
                    </a:stretch>
                  </pic:blipFill>
                  <pic:spPr>
                    <a:xfrm>
                      <a:off x="0" y="0"/>
                      <a:ext cx="5293360" cy="3401710"/>
                    </a:xfrm>
                    <a:prstGeom prst="rect">
                      <a:avLst/>
                    </a:prstGeom>
                    <a:noFill/>
                  </pic:spPr>
                </pic:pic>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8年一般公共预算财政拨款支出442.98万元，占本年支出合计的68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7年相比，一般公共预算财政拨款减少119.54万元，下降21</w:t>
      </w:r>
      <w:r>
        <w:rPr>
          <w:rFonts w:ascii="仿宋" w:hAnsi="仿宋" w:eastAsia="仿宋"/>
          <w:color w:val="000000"/>
          <w:sz w:val="32"/>
          <w:szCs w:val="32"/>
        </w:rPr>
        <w:t>%</w:t>
      </w:r>
      <w:r>
        <w:rPr>
          <w:rFonts w:hint="eastAsia" w:ascii="仿宋" w:hAnsi="仿宋" w:eastAsia="仿宋"/>
          <w:color w:val="000000"/>
          <w:sz w:val="32"/>
          <w:szCs w:val="32"/>
        </w:rPr>
        <w:t>。主要变动原因是财政2018年应返还额度增加。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-47625</wp:posOffset>
            </wp:positionH>
            <wp:positionV relativeFrom="paragraph">
              <wp:posOffset>151765</wp:posOffset>
            </wp:positionV>
            <wp:extent cx="5314950" cy="4192270"/>
            <wp:effectExtent l="19050" t="0" r="0" b="0"/>
            <wp:wrapNone/>
            <wp:docPr id="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pic:cNvPicPr>
                      <a:picLocks noChangeAspect="1" noChangeArrowheads="1"/>
                    </pic:cNvPicPr>
                  </pic:nvPicPr>
                  <pic:blipFill>
                    <a:blip r:embed="rId10"/>
                    <a:srcRect/>
                    <a:stretch>
                      <a:fillRect/>
                    </a:stretch>
                  </pic:blipFill>
                  <pic:spPr>
                    <a:xfrm>
                      <a:off x="0" y="0"/>
                      <a:ext cx="5320012" cy="4196122"/>
                    </a:xfrm>
                    <a:prstGeom prst="rect">
                      <a:avLst/>
                    </a:prstGeom>
                    <a:noFill/>
                  </pic:spPr>
                </pic:pic>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政拨款支出442.98万元，主要用于以下方面</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支出4.54万元，占1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支出56.45万元，占13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；医疗卫生支出325.1万元，占73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；住房保障支出56.89万元，占13</w:t>
      </w:r>
      <w:r>
        <w:rPr>
          <w:rFonts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66675</wp:posOffset>
            </wp:positionH>
            <wp:positionV relativeFrom="paragraph">
              <wp:posOffset>190500</wp:posOffset>
            </wp:positionV>
            <wp:extent cx="5343525" cy="3114675"/>
            <wp:effectExtent l="19050" t="0" r="9525" b="0"/>
            <wp:wrapNone/>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noChangeArrowheads="1"/>
                    </pic:cNvPicPr>
                  </pic:nvPicPr>
                  <pic:blipFill>
                    <a:blip r:embed="rId11"/>
                    <a:srcRect/>
                    <a:stretch>
                      <a:fillRect/>
                    </a:stretch>
                  </pic:blipFill>
                  <pic:spPr>
                    <a:xfrm>
                      <a:off x="0" y="0"/>
                      <a:ext cx="5343525" cy="3114675"/>
                    </a:xfrm>
                    <a:prstGeom prst="rect">
                      <a:avLst/>
                    </a:prstGeom>
                    <a:noFill/>
                  </pic:spPr>
                </pic:pic>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2018年一般公共预算支出决算数为442.98万元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预算87.25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一般公共服务（201）人力资源事务（20110）其它人力资源事务支出（2011099）</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支出决算为4.54万元，完成预算100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社会保障和就业（208）行政事业单位离退休（20805）机关事业单位基本养老保险缴费支出（2080505）</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支出决算为56.45万元，完成预算100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Style w:val="14"/>
          <w:rFonts w:hint="eastAsia" w:ascii="仿宋_GB2312" w:eastAsia="仿宋_GB2312"/>
          <w:color w:val="000000"/>
          <w:sz w:val="32"/>
          <w:szCs w:val="32"/>
        </w:rPr>
        <w:t>3.医疗卫生与计划生育（210）基层医疗卫生机构（21003）</w:t>
      </w:r>
      <w:r>
        <w:rPr>
          <w:rFonts w:hint="eastAsia" w:ascii="仿宋_GB2312" w:eastAsia="仿宋_GB2312"/>
          <w:b/>
          <w:color w:val="000000"/>
          <w:sz w:val="32"/>
          <w:szCs w:val="32"/>
        </w:rPr>
        <w:t>乡镇卫生院（2100302）</w:t>
      </w:r>
      <w:r>
        <w:rPr>
          <w:rStyle w:val="14"/>
          <w:rFonts w:hint="eastAsia" w:ascii="仿宋_GB2312" w:eastAsia="仿宋_GB2312"/>
          <w:color w:val="000000"/>
          <w:sz w:val="32"/>
          <w:szCs w:val="32"/>
        </w:rPr>
        <w:t>:</w:t>
      </w:r>
      <w:r>
        <w:rPr>
          <w:rFonts w:hint="eastAsia" w:ascii="仿宋_GB2312" w:eastAsia="仿宋_GB2312"/>
          <w:color w:val="000000"/>
          <w:sz w:val="32"/>
          <w:szCs w:val="32"/>
        </w:rPr>
        <w:t>2018年决算数为194.3万元，完成预算数75%，决算数小于预算数的主要原因为存在年初、年末财政结转资金，</w:t>
      </w:r>
      <w:r>
        <w:rPr>
          <w:rFonts w:hint="eastAsia" w:ascii="仿宋_GB2312" w:eastAsia="仿宋_GB2312"/>
          <w:color w:val="000000"/>
          <w:sz w:val="32"/>
          <w:szCs w:val="32"/>
          <w:lang w:eastAsia="zh-CN"/>
        </w:rPr>
        <w:t>其中</w:t>
      </w:r>
      <w:r>
        <w:rPr>
          <w:rFonts w:hint="eastAsia" w:ascii="仿宋_GB2312" w:eastAsia="仿宋_GB2312"/>
          <w:color w:val="000000"/>
          <w:sz w:val="32"/>
          <w:szCs w:val="32"/>
        </w:rPr>
        <w:t>：年初结转67.76万元，年末结转132.4万元。主要为乡镇卫生院差额补助经费。</w:t>
      </w:r>
    </w:p>
    <w:p>
      <w:pPr>
        <w:spacing w:line="600" w:lineRule="exact"/>
        <w:ind w:firstLine="643" w:firstLineChars="200"/>
        <w:rPr>
          <w:rFonts w:ascii="仿宋" w:hAnsi="仿宋" w:eastAsia="仿宋"/>
          <w:color w:val="000000"/>
          <w:sz w:val="32"/>
          <w:szCs w:val="32"/>
        </w:rPr>
      </w:pPr>
      <w:r>
        <w:rPr>
          <w:rStyle w:val="14"/>
          <w:rFonts w:hint="eastAsia" w:ascii="仿宋" w:hAnsi="仿宋" w:eastAsia="仿宋"/>
          <w:bCs/>
          <w:color w:val="000000"/>
          <w:sz w:val="32"/>
          <w:szCs w:val="32"/>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医疗卫生与计划生育（210）基层医疗卫生机构（21003）</w:t>
      </w:r>
      <w:r>
        <w:rPr>
          <w:rStyle w:val="14"/>
          <w:rFonts w:hint="eastAsia" w:ascii="仿宋" w:hAnsi="仿宋" w:eastAsia="仿宋"/>
          <w:bCs/>
          <w:color w:val="000000"/>
          <w:sz w:val="32"/>
          <w:szCs w:val="32"/>
          <w:lang w:eastAsia="zh-CN"/>
        </w:rPr>
        <w:t>其他</w:t>
      </w:r>
      <w:r>
        <w:rPr>
          <w:rStyle w:val="14"/>
          <w:rFonts w:hint="eastAsia" w:ascii="仿宋" w:hAnsi="仿宋" w:eastAsia="仿宋"/>
          <w:bCs/>
          <w:color w:val="000000"/>
          <w:sz w:val="32"/>
          <w:szCs w:val="32"/>
        </w:rPr>
        <w:t>基层医疗卫生机构支出（2100399）</w:t>
      </w:r>
      <w:r>
        <w:rPr>
          <w:rStyle w:val="14"/>
          <w:rFonts w:hint="eastAsia" w:ascii="仿宋" w:hAnsi="仿宋" w:eastAsia="仿宋"/>
          <w:bCs/>
          <w:color w:val="000000"/>
          <w:sz w:val="32"/>
          <w:szCs w:val="32"/>
          <w:lang w:eastAsia="zh-CN"/>
        </w:rPr>
        <w:t>：</w:t>
      </w:r>
      <w:r>
        <w:rPr>
          <w:rStyle w:val="14"/>
          <w:rFonts w:hint="eastAsia" w:ascii="仿宋" w:hAnsi="仿宋" w:eastAsia="仿宋"/>
          <w:b w:val="0"/>
          <w:bCs/>
          <w:color w:val="000000"/>
          <w:sz w:val="32"/>
          <w:szCs w:val="32"/>
        </w:rPr>
        <w:t>支出决算为24.33万元，完成预算100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5、</w:t>
      </w:r>
      <w:r>
        <w:rPr>
          <w:rStyle w:val="14"/>
          <w:rFonts w:hint="eastAsia" w:ascii="仿宋" w:hAnsi="仿宋" w:eastAsia="仿宋"/>
          <w:bCs/>
          <w:color w:val="000000"/>
          <w:sz w:val="32"/>
          <w:szCs w:val="32"/>
        </w:rPr>
        <w:t>医疗卫生与计划生育（210）公共卫生（21004）基本公共卫生服务（2100408）</w:t>
      </w:r>
      <w:r>
        <w:rPr>
          <w:rStyle w:val="14"/>
          <w:rFonts w:hint="eastAsia" w:ascii="仿宋" w:hAnsi="仿宋" w:eastAsia="仿宋"/>
          <w:bCs/>
          <w:color w:val="000000"/>
          <w:sz w:val="32"/>
          <w:szCs w:val="32"/>
          <w:lang w:eastAsia="zh-CN"/>
        </w:rPr>
        <w:t>：</w:t>
      </w:r>
      <w:r>
        <w:rPr>
          <w:rStyle w:val="14"/>
          <w:rFonts w:hint="eastAsia" w:ascii="仿宋" w:hAnsi="仿宋" w:eastAsia="仿宋"/>
          <w:b w:val="0"/>
          <w:bCs/>
          <w:color w:val="000000"/>
          <w:sz w:val="32"/>
          <w:szCs w:val="32"/>
        </w:rPr>
        <w:t>支出决算为99.19万元，完成预算100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6、</w:t>
      </w:r>
      <w:r>
        <w:rPr>
          <w:rStyle w:val="14"/>
          <w:rFonts w:hint="eastAsia" w:ascii="仿宋" w:hAnsi="仿宋" w:eastAsia="仿宋"/>
          <w:bCs/>
          <w:color w:val="000000"/>
          <w:sz w:val="32"/>
          <w:szCs w:val="32"/>
        </w:rPr>
        <w:t>医疗卫生与计划生育（210）行政事业单位医疗（21011）事业单位医疗（2101102）</w:t>
      </w:r>
      <w:r>
        <w:rPr>
          <w:rStyle w:val="14"/>
          <w:rFonts w:hint="eastAsia" w:ascii="仿宋" w:hAnsi="仿宋" w:eastAsia="仿宋"/>
          <w:bCs/>
          <w:color w:val="000000"/>
          <w:sz w:val="32"/>
          <w:szCs w:val="32"/>
          <w:lang w:eastAsia="zh-CN"/>
        </w:rPr>
        <w:t>：</w:t>
      </w:r>
      <w:r>
        <w:rPr>
          <w:rStyle w:val="14"/>
          <w:rFonts w:hint="eastAsia" w:ascii="仿宋" w:hAnsi="仿宋" w:eastAsia="仿宋"/>
          <w:b w:val="0"/>
          <w:bCs/>
          <w:color w:val="000000"/>
          <w:sz w:val="32"/>
          <w:szCs w:val="32"/>
        </w:rPr>
        <w:t>支出决算为7.32万元，完成预算100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7、住房保障支出</w:t>
      </w:r>
      <w:r>
        <w:rPr>
          <w:rStyle w:val="14"/>
          <w:rFonts w:hint="eastAsia" w:ascii="仿宋" w:hAnsi="仿宋" w:eastAsia="仿宋"/>
          <w:bCs/>
          <w:color w:val="000000"/>
          <w:sz w:val="32"/>
          <w:szCs w:val="32"/>
        </w:rPr>
        <w:t>（221）住房改革支出（22102）住房公积金（2210201）</w:t>
      </w:r>
      <w:r>
        <w:rPr>
          <w:rStyle w:val="14"/>
          <w:rFonts w:hint="eastAsia" w:ascii="仿宋" w:hAnsi="仿宋" w:eastAsia="仿宋"/>
          <w:bCs/>
          <w:color w:val="000000"/>
          <w:sz w:val="32"/>
          <w:szCs w:val="32"/>
          <w:lang w:eastAsia="zh-CN"/>
        </w:rPr>
        <w:t>：</w:t>
      </w:r>
      <w:r>
        <w:rPr>
          <w:rStyle w:val="14"/>
          <w:rFonts w:hint="eastAsia" w:ascii="仿宋" w:hAnsi="仿宋" w:eastAsia="仿宋"/>
          <w:b w:val="0"/>
          <w:bCs/>
          <w:color w:val="000000"/>
          <w:sz w:val="32"/>
          <w:szCs w:val="32"/>
        </w:rPr>
        <w:t>支出决算为56.89万元，完成预算100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8年一般公共预算财政拨款基本支出319.46万元，其中：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249.99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69.47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无</w:t>
      </w: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无</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p>
    <w:p>
      <w:pPr>
        <w:spacing w:line="60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rPr>
        <w:t>无</w:t>
      </w:r>
      <w:bookmarkStart w:id="46" w:name="_Toc15377218"/>
      <w:bookmarkStart w:id="47" w:name="_Toc15396610"/>
    </w:p>
    <w:p>
      <w:pPr>
        <w:spacing w:line="600" w:lineRule="exact"/>
        <w:ind w:firstLine="640"/>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spacing w:line="580" w:lineRule="exact"/>
        <w:ind w:firstLine="640" w:firstLineChars="200"/>
        <w:rPr>
          <w:rFonts w:ascii="仿宋_GB2312" w:hAnsi="仿宋_GB2312" w:eastAsia="仿宋_GB2312" w:cs="仿宋_GB2312"/>
          <w:sz w:val="32"/>
          <w:szCs w:val="32"/>
        </w:rPr>
      </w:pPr>
      <w:bookmarkStart w:id="50" w:name="_Toc15396612"/>
      <w:bookmarkStart w:id="51" w:name="_Toc15377221"/>
      <w:r>
        <w:rPr>
          <w:rFonts w:hint="eastAsia" w:ascii="仿宋_GB2312" w:hAnsi="仿宋_GB2312" w:eastAsia="仿宋_GB2312" w:cs="仿宋_GB2312"/>
          <w:sz w:val="32"/>
          <w:szCs w:val="32"/>
        </w:rPr>
        <w:t>根据预算绩效管理要求，本单位在年初预算编制阶段，组织对2个项目开展了预算事前绩效评估，对2个项目编制了绩效目标，预算执行过程中，选取2项目开展绩效监控，年终执行完毕后，对2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本单位按要求对2018年部门整体支出开展绩效自评，从评价情况来看本单位按要求对 2018 年单位整体支出开展绩效自评，从评价情况来看，本单位 2018 年单位整体支出绩效评价自查自评结果良好。财务制度较健全，财务管理较规范，全年基本支出保障了单位的正常运行和日程工作的正常开展，项目支出保障了重点工作的开展，履职成效明显，达到了预期绩效目标和预期经济效果。</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本单位在2018年度部门决算中反映“基本公共卫生服务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“基本药物补助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等2个项目绩效目标实际完成情况。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药物补助项目绩效目标完成情况综述。项目全年预算数24.33万元，执行数为24.33万元，完成预算的100%。通过项目实施，保障了2018年我院基本药物采购资金的保障，发现的主要问题：对专项项目推进工作重视度有待加强，对。下一步改进措施：</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sz w:val="32"/>
          <w:szCs w:val="32"/>
        </w:rPr>
        <w:t>与财政部门衔接，在单位预算编制中从细从严，切实推进预算。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公共卫生服务项目绩效目标完成情况综述。项目年初预算数99.19万元，执行数为99.19万元，完成预算的100%。通过项目实施，保障了我院基本公共卫生服务的运行，发现的主要问题：基本公共卫生服务推进力度有待加强。下一步改进措施：积极与财政部门衔接，在单位部门预算编制中从细从严，切实推进预算。</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9"/>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b/>
                <w:bCs/>
                <w:color w:val="000000"/>
                <w:kern w:val="0"/>
                <w:sz w:val="36"/>
                <w:szCs w:val="36"/>
                <w:lang w:eastAsia="zh-CN"/>
              </w:rPr>
              <w:t>（</w:t>
            </w:r>
            <w:r>
              <w:rPr>
                <w:rFonts w:hint="eastAsia" w:ascii="宋体" w:hAnsi="宋体" w:cs="宋体"/>
                <w:color w:val="000000"/>
                <w:kern w:val="0"/>
                <w:sz w:val="36"/>
                <w:szCs w:val="36"/>
              </w:rPr>
              <w:t>2018 年度</w:t>
            </w:r>
            <w:r>
              <w:rPr>
                <w:rFonts w:hint="eastAsia" w:ascii="宋体" w:hAnsi="宋体" w:cs="宋体"/>
                <w:color w:val="000000"/>
                <w:kern w:val="0"/>
                <w:sz w:val="36"/>
                <w:szCs w:val="36"/>
                <w:lang w:eastAsia="zh-CN"/>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基本药物补助</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达州市达川区堡子镇中心卫生院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预算执行情况</w:t>
            </w:r>
            <w:r>
              <w:rPr>
                <w:rFonts w:hint="eastAsia" w:cs="宋体" w:asciiTheme="minorEastAsia" w:hAnsiTheme="minorEastAsia" w:eastAsiaTheme="minorEastAsia"/>
                <w:color w:val="000000"/>
                <w:kern w:val="0"/>
                <w:sz w:val="24"/>
                <w:lang w:eastAsia="zh-CN"/>
              </w:rPr>
              <w:t>（</w:t>
            </w:r>
            <w:r>
              <w:rPr>
                <w:rFonts w:hint="eastAsia" w:cs="宋体" w:asciiTheme="minorEastAsia" w:hAnsiTheme="minorEastAsia" w:eastAsiaTheme="minorEastAsia"/>
                <w:color w:val="000000"/>
                <w:kern w:val="0"/>
                <w:sz w:val="24"/>
              </w:rPr>
              <w:t>万元</w:t>
            </w:r>
            <w:r>
              <w:rPr>
                <w:rFonts w:hint="eastAsia" w:cs="宋体" w:asciiTheme="minorEastAsia" w:hAnsiTheme="minorEastAsia" w:eastAsiaTheme="minorEastAsia"/>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预算数</w:t>
            </w:r>
            <w:r>
              <w:rPr>
                <w:rFonts w:hint="eastAsia" w:cs="宋体" w:asciiTheme="minorEastAsia" w:hAnsiTheme="minorEastAsia" w:eastAsiaTheme="minorEastAsia"/>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仿宋_GB2312" w:asciiTheme="minorEastAsia" w:hAnsiTheme="minorEastAsia" w:eastAsiaTheme="minorEastAsia"/>
                <w:sz w:val="24"/>
              </w:rPr>
              <w:t>24.33</w:t>
            </w:r>
            <w:r>
              <w:rPr>
                <w:rFonts w:hint="eastAsia" w:cs="宋体" w:asciiTheme="minorEastAsia" w:hAnsiTheme="minorEastAsia" w:eastAsiaTheme="minorEastAsia"/>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执行数</w:t>
            </w:r>
            <w:r>
              <w:rPr>
                <w:rFonts w:hint="eastAsia" w:cs="宋体" w:asciiTheme="minorEastAsia" w:hAnsiTheme="minorEastAsia" w:eastAsiaTheme="minorEastAsia"/>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仿宋_GB2312" w:asciiTheme="minorEastAsia" w:hAnsiTheme="minorEastAsia" w:eastAsiaTheme="minorEastAsia"/>
                <w:sz w:val="24"/>
              </w:rPr>
              <w:t>24.33</w:t>
            </w:r>
            <w:r>
              <w:rPr>
                <w:rFonts w:hint="eastAsia" w:cs="宋体" w:asciiTheme="minorEastAsia" w:hAnsiTheme="minorEastAsia" w:eastAsiaTheme="minorEastAsia"/>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其中</w:t>
            </w:r>
            <w:r>
              <w:rPr>
                <w:rFonts w:hint="eastAsia" w:cs="宋体" w:asciiTheme="minorEastAsia" w:hAnsiTheme="minorEastAsia" w:eastAsiaTheme="minorEastAsia"/>
                <w:color w:val="000000"/>
                <w:kern w:val="0"/>
                <w:sz w:val="24"/>
                <w:lang w:eastAsia="zh-CN"/>
              </w:rPr>
              <w:t>－</w:t>
            </w:r>
            <w:r>
              <w:rPr>
                <w:rFonts w:hint="eastAsia" w:cs="宋体" w:asciiTheme="minorEastAsia" w:hAnsiTheme="minorEastAsia" w:eastAsiaTheme="minorEastAsia"/>
                <w:color w:val="000000"/>
                <w:kern w:val="0"/>
                <w:sz w:val="24"/>
              </w:rPr>
              <w:t>财政拨款</w:t>
            </w:r>
            <w:r>
              <w:rPr>
                <w:rFonts w:hint="eastAsia" w:cs="宋体" w:asciiTheme="minorEastAsia" w:hAnsiTheme="minorEastAsia" w:eastAsiaTheme="minorEastAsia"/>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仿宋_GB2312" w:asciiTheme="minorEastAsia" w:hAnsiTheme="minorEastAsia" w:eastAsiaTheme="minorEastAsia"/>
                <w:sz w:val="24"/>
              </w:rPr>
              <w:t>24.33</w:t>
            </w:r>
            <w:r>
              <w:rPr>
                <w:rFonts w:hint="eastAsia" w:cs="宋体" w:asciiTheme="minorEastAsia" w:hAnsiTheme="minorEastAsia" w:eastAsiaTheme="minorEastAsia"/>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其中</w:t>
            </w:r>
            <w:r>
              <w:rPr>
                <w:rFonts w:hint="eastAsia" w:cs="宋体" w:asciiTheme="minorEastAsia" w:hAnsiTheme="minorEastAsia" w:eastAsiaTheme="minorEastAsia"/>
                <w:color w:val="000000"/>
                <w:kern w:val="0"/>
                <w:sz w:val="24"/>
                <w:lang w:eastAsia="zh-CN"/>
              </w:rPr>
              <w:t>－</w:t>
            </w:r>
            <w:r>
              <w:rPr>
                <w:rFonts w:hint="eastAsia" w:cs="宋体" w:asciiTheme="minorEastAsia" w:hAnsiTheme="minorEastAsia" w:eastAsiaTheme="minorEastAsia"/>
                <w:color w:val="000000"/>
                <w:kern w:val="0"/>
                <w:sz w:val="24"/>
              </w:rPr>
              <w:t>财政拨款</w:t>
            </w:r>
            <w:r>
              <w:rPr>
                <w:rFonts w:hint="eastAsia" w:cs="宋体" w:asciiTheme="minorEastAsia" w:hAnsiTheme="minorEastAsia" w:eastAsiaTheme="minorEastAsia"/>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仿宋_GB2312" w:asciiTheme="minorEastAsia" w:hAnsiTheme="minorEastAsia" w:eastAsiaTheme="minorEastAsia"/>
                <w:sz w:val="24"/>
              </w:rPr>
              <w:t>24.33</w:t>
            </w:r>
            <w:r>
              <w:rPr>
                <w:rFonts w:hint="eastAsia" w:cs="宋体" w:asciiTheme="minorEastAsia" w:hAnsiTheme="minorEastAsia" w:eastAsiaTheme="minorEastAsia"/>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eastAsia="zh-CN"/>
              </w:rPr>
              <w:t>其他</w:t>
            </w:r>
            <w:r>
              <w:rPr>
                <w:rFonts w:hint="eastAsia" w:cs="宋体" w:asciiTheme="minorEastAsia" w:hAnsiTheme="minorEastAsia" w:eastAsiaTheme="minorEastAsia"/>
                <w:color w:val="000000"/>
                <w:kern w:val="0"/>
                <w:sz w:val="24"/>
              </w:rPr>
              <w:t>资金</w:t>
            </w:r>
            <w:r>
              <w:rPr>
                <w:rFonts w:hint="eastAsia" w:cs="宋体" w:asciiTheme="minorEastAsia" w:hAnsiTheme="minorEastAsia" w:eastAsiaTheme="minorEastAsia"/>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lang w:eastAsia="zh-CN"/>
              </w:rPr>
              <w:t>其他</w:t>
            </w:r>
            <w:r>
              <w:rPr>
                <w:rFonts w:hint="eastAsia" w:cs="宋体" w:asciiTheme="minorEastAsia" w:hAnsiTheme="minorEastAsia" w:eastAsiaTheme="minorEastAsia"/>
                <w:color w:val="000000"/>
                <w:kern w:val="0"/>
                <w:sz w:val="24"/>
              </w:rPr>
              <w:t>资金</w:t>
            </w:r>
            <w:r>
              <w:rPr>
                <w:rFonts w:hint="eastAsia" w:cs="宋体" w:asciiTheme="minorEastAsia" w:hAnsiTheme="minorEastAsia" w:eastAsiaTheme="minorEastAsia"/>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完成2018年基本药物资金补助</w:t>
            </w:r>
            <w:r>
              <w:rPr>
                <w:rFonts w:hint="eastAsia" w:cs="仿宋_GB2312" w:asciiTheme="minorEastAsia" w:hAnsiTheme="minorEastAsia" w:eastAsiaTheme="minorEastAsia"/>
                <w:sz w:val="24"/>
              </w:rPr>
              <w:t>24.33</w:t>
            </w:r>
            <w:r>
              <w:rPr>
                <w:rFonts w:hint="eastAsia" w:cs="宋体" w:asciiTheme="minorEastAsia" w:hAnsiTheme="minorEastAsia" w:eastAsiaTheme="minorEastAsia"/>
                <w:color w:val="000000"/>
                <w:sz w:val="24"/>
              </w:rPr>
              <w:t>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完成2018年基本药物资金补助</w:t>
            </w:r>
            <w:r>
              <w:rPr>
                <w:rFonts w:hint="eastAsia" w:cs="仿宋_GB2312" w:asciiTheme="minorEastAsia" w:hAnsiTheme="minorEastAsia" w:eastAsiaTheme="minorEastAsia"/>
                <w:sz w:val="24"/>
              </w:rPr>
              <w:t>24.33</w:t>
            </w:r>
            <w:r>
              <w:rPr>
                <w:rFonts w:hint="eastAsia" w:cs="宋体" w:asciiTheme="minorEastAsia" w:hAnsiTheme="minorEastAsia" w:eastAsiaTheme="minorEastAsia"/>
                <w:color w:val="000000"/>
                <w:sz w:val="24"/>
              </w:rPr>
              <w:t>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完成2018年基药采购数量任务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通过基药采购平台进行采购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每月按时完成采购计划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在基药平台采购基药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基药零差价进销让患者减轻负担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患者对基药零差价进销满意度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bl>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9"/>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b/>
                <w:bCs/>
                <w:color w:val="000000"/>
                <w:kern w:val="0"/>
                <w:sz w:val="36"/>
                <w:szCs w:val="36"/>
                <w:lang w:eastAsia="zh-CN"/>
              </w:rPr>
              <w:t>（</w:t>
            </w:r>
            <w:r>
              <w:rPr>
                <w:rFonts w:hint="eastAsia" w:ascii="宋体" w:hAnsi="宋体" w:cs="宋体"/>
                <w:color w:val="000000"/>
                <w:kern w:val="0"/>
                <w:sz w:val="36"/>
                <w:szCs w:val="36"/>
              </w:rPr>
              <w:t>2018 年度</w:t>
            </w:r>
            <w:r>
              <w:rPr>
                <w:rFonts w:hint="eastAsia" w:ascii="宋体" w:hAnsi="宋体" w:cs="宋体"/>
                <w:color w:val="000000"/>
                <w:kern w:val="0"/>
                <w:sz w:val="36"/>
                <w:szCs w:val="36"/>
                <w:lang w:eastAsia="zh-CN"/>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基本公共卫生服务</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达州市达川区堡子镇中心卫生院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99.19万元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99.19万元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99.19万元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99.19万元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完成2018年基本公共卫生服务99.19万元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完成2018年基本公共卫生服务99.19万元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完成2018年基本公共卫生服99.19万元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通过基本公共卫生服务开展达到对辖区居民建档率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按时完成公卫相关工作及相关报表的上报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严格控制基本公共卫生服务经费支出做到专款专用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通过基本公共卫生服务的开展让群众知道该项目的开展目的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达到80%以上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通过基本公共卫生服务的开展使群众对</w:t>
            </w:r>
            <w:r>
              <w:rPr>
                <w:rFonts w:hint="eastAsia" w:ascii="宋体" w:hAnsi="宋体" w:cs="宋体"/>
                <w:color w:val="000000"/>
                <w:sz w:val="24"/>
                <w:lang w:eastAsia="zh-CN"/>
              </w:rPr>
              <w:t>该项</w:t>
            </w:r>
            <w:r>
              <w:rPr>
                <w:rFonts w:hint="eastAsia" w:ascii="宋体" w:hAnsi="宋体" w:cs="宋体"/>
                <w:color w:val="000000"/>
                <w:sz w:val="24"/>
              </w:rPr>
              <w:t>目的认可度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本部门按要求对2018年部门整体支出绩效评价情况开展自评，《四川省达州市达川区堡子镇中心卫生院2018年部门整体支出绩效评价报告》见附件。本部门未自行组织其他项目绩效评价。</w:t>
      </w:r>
    </w:p>
    <w:p/>
    <w:p/>
    <w:p>
      <w:pPr>
        <w:spacing w:line="600" w:lineRule="exact"/>
        <w:ind w:firstLine="800" w:firstLineChars="250"/>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sz w:val="32"/>
          <w:szCs w:val="32"/>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8年，达州市达川区堡子镇中心卫生院政府采购支出总额0.3万元，其中：政府采购货物支出0.3万元、主要用于单位日常办公用。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日，达州市达川区堡子镇中心卫生院共有车辆1辆，其中：特种专业技术用车1辆，特种专业技术用</w:t>
      </w:r>
      <w:r>
        <w:rPr>
          <w:rFonts w:hint="eastAsia" w:ascii="仿宋_GB2312" w:eastAsia="仿宋_GB2312"/>
          <w:color w:val="000000" w:themeColor="text1"/>
          <w:sz w:val="32"/>
          <w:szCs w:val="32"/>
          <w14:textFill>
            <w14:solidFill>
              <w14:schemeClr w14:val="tx1"/>
            </w14:solidFill>
          </w14:textFill>
        </w:rPr>
        <w:t>车主要是用于单位急救病人使用。</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其他收入：指单位取得的除上述收入以外的各项收入。主要是利息等。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color w:val="000000"/>
          <w:sz w:val="32"/>
          <w:szCs w:val="32"/>
        </w:rPr>
        <w:t>9</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一般公共服务（201）人力资源事务（20110）其它人力资源事务支出（2011099）</w:t>
      </w:r>
      <w:r>
        <w:rPr>
          <w:rStyle w:val="14"/>
          <w:rFonts w:ascii="仿宋" w:hAnsi="仿宋" w:eastAsia="仿宋"/>
          <w:b w:val="0"/>
          <w:color w:val="000000"/>
          <w:sz w:val="32"/>
          <w:szCs w:val="32"/>
        </w:rPr>
        <w:t xml:space="preserve">: </w:t>
      </w:r>
      <w:r>
        <w:rPr>
          <w:rStyle w:val="14"/>
          <w:rFonts w:hint="eastAsia" w:ascii="仿宋" w:hAnsi="仿宋" w:eastAsia="仿宋"/>
          <w:b w:val="0"/>
          <w:color w:val="000000"/>
          <w:sz w:val="32"/>
          <w:szCs w:val="32"/>
        </w:rPr>
        <w:t>是指三支一扶人员一般性支出。</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color w:val="000000"/>
          <w:sz w:val="32"/>
          <w:szCs w:val="32"/>
        </w:rPr>
        <w:t>10</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社会保障和就业（208）行政事业单位离退休（20805）机关事业单位基本养老保险缴费支出（2080505）</w:t>
      </w:r>
      <w:r>
        <w:rPr>
          <w:rStyle w:val="14"/>
          <w:rFonts w:ascii="仿宋" w:hAnsi="仿宋" w:eastAsia="仿宋"/>
          <w:b w:val="0"/>
          <w:color w:val="000000"/>
          <w:sz w:val="32"/>
          <w:szCs w:val="32"/>
        </w:rPr>
        <w:t xml:space="preserve">: </w:t>
      </w:r>
      <w:r>
        <w:rPr>
          <w:rStyle w:val="14"/>
          <w:rFonts w:hint="eastAsia" w:ascii="仿宋" w:hAnsi="仿宋" w:eastAsia="仿宋"/>
          <w:b w:val="0"/>
          <w:color w:val="000000"/>
          <w:sz w:val="32"/>
          <w:szCs w:val="32"/>
        </w:rPr>
        <w:t>指单位职工养老保险缴费支出。</w:t>
      </w:r>
    </w:p>
    <w:p>
      <w:pPr>
        <w:spacing w:line="600" w:lineRule="exact"/>
        <w:ind w:firstLine="640"/>
        <w:rPr>
          <w:rFonts w:ascii="仿宋_GB2312" w:eastAsia="仿宋_GB2312"/>
          <w:color w:val="000000"/>
          <w:sz w:val="32"/>
          <w:szCs w:val="32"/>
        </w:rPr>
      </w:pPr>
      <w:r>
        <w:rPr>
          <w:rStyle w:val="14"/>
          <w:rFonts w:hint="eastAsia" w:ascii="仿宋_GB2312" w:eastAsia="仿宋_GB2312"/>
          <w:b w:val="0"/>
          <w:color w:val="000000"/>
          <w:sz w:val="32"/>
          <w:szCs w:val="32"/>
        </w:rPr>
        <w:t>11.医疗卫生与计划生育（210）基层医疗卫生机构（21003）</w:t>
      </w:r>
      <w:r>
        <w:rPr>
          <w:rFonts w:hint="eastAsia" w:ascii="仿宋_GB2312" w:eastAsia="仿宋_GB2312"/>
          <w:color w:val="000000"/>
          <w:sz w:val="32"/>
          <w:szCs w:val="32"/>
        </w:rPr>
        <w:t>乡镇卫生院（2100302）</w:t>
      </w:r>
      <w:r>
        <w:rPr>
          <w:rFonts w:hint="eastAsia" w:ascii="仿宋_GB2312" w:eastAsia="仿宋_GB2312"/>
          <w:color w:val="000000"/>
          <w:sz w:val="32"/>
          <w:szCs w:val="32"/>
          <w:lang w:eastAsia="zh-CN"/>
        </w:rPr>
        <w:t>：</w:t>
      </w:r>
      <w:r>
        <w:rPr>
          <w:rFonts w:hint="eastAsia" w:ascii="仿宋_GB2312" w:eastAsia="仿宋_GB2312"/>
          <w:color w:val="000000"/>
          <w:sz w:val="32"/>
          <w:szCs w:val="32"/>
        </w:rPr>
        <w:t>指为保障机构正常运转、完成日常工作任务而发生的人员支出和公用支出。</w:t>
      </w:r>
    </w:p>
    <w:p>
      <w:pPr>
        <w:spacing w:line="600" w:lineRule="exact"/>
        <w:ind w:firstLine="640" w:firstLineChars="200"/>
        <w:rPr>
          <w:rStyle w:val="14"/>
          <w:rFonts w:ascii="仿宋" w:hAnsi="仿宋" w:eastAsia="仿宋"/>
          <w:b w:val="0"/>
          <w:color w:val="000000"/>
          <w:sz w:val="32"/>
          <w:szCs w:val="32"/>
        </w:rPr>
      </w:pPr>
      <w:r>
        <w:rPr>
          <w:rStyle w:val="14"/>
          <w:rFonts w:hint="eastAsia" w:ascii="仿宋" w:hAnsi="仿宋" w:eastAsia="仿宋"/>
          <w:b w:val="0"/>
          <w:color w:val="000000"/>
          <w:sz w:val="32"/>
          <w:szCs w:val="32"/>
        </w:rPr>
        <w:t>12</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医疗卫生与计划生育（210）基层医疗卫生机构（21003）</w:t>
      </w:r>
      <w:r>
        <w:rPr>
          <w:rStyle w:val="14"/>
          <w:rFonts w:hint="eastAsia" w:ascii="仿宋" w:hAnsi="仿宋" w:eastAsia="仿宋"/>
          <w:b w:val="0"/>
          <w:color w:val="000000"/>
          <w:sz w:val="32"/>
          <w:szCs w:val="32"/>
          <w:lang w:eastAsia="zh-CN"/>
        </w:rPr>
        <w:t>其他</w:t>
      </w:r>
      <w:r>
        <w:rPr>
          <w:rStyle w:val="14"/>
          <w:rFonts w:hint="eastAsia" w:ascii="仿宋" w:hAnsi="仿宋" w:eastAsia="仿宋"/>
          <w:b w:val="0"/>
          <w:color w:val="000000"/>
          <w:sz w:val="32"/>
          <w:szCs w:val="32"/>
        </w:rPr>
        <w:t>基层医疗卫生机构支出（2100399）</w:t>
      </w:r>
      <w:r>
        <w:rPr>
          <w:rStyle w:val="14"/>
          <w:rFonts w:hint="eastAsia" w:ascii="仿宋" w:hAnsi="仿宋" w:eastAsia="仿宋"/>
          <w:b w:val="0"/>
          <w:color w:val="000000"/>
          <w:sz w:val="32"/>
          <w:szCs w:val="32"/>
          <w:lang w:eastAsia="zh-CN"/>
        </w:rPr>
        <w:t>：</w:t>
      </w:r>
      <w:r>
        <w:rPr>
          <w:rStyle w:val="14"/>
          <w:rFonts w:hint="eastAsia" w:ascii="仿宋" w:hAnsi="仿宋" w:eastAsia="仿宋"/>
          <w:b w:val="0"/>
          <w:color w:val="000000"/>
          <w:sz w:val="32"/>
          <w:szCs w:val="32"/>
        </w:rPr>
        <w:t>指单位实施国家基本药物制度支出。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13、</w:t>
      </w:r>
      <w:r>
        <w:rPr>
          <w:rStyle w:val="14"/>
          <w:rFonts w:hint="eastAsia" w:ascii="仿宋" w:hAnsi="仿宋" w:eastAsia="仿宋"/>
          <w:b w:val="0"/>
          <w:color w:val="000000"/>
          <w:sz w:val="32"/>
          <w:szCs w:val="32"/>
        </w:rPr>
        <w:t>医疗卫生与计划生育（210）公共卫生（21004）基本公共卫生服务（2100408）</w:t>
      </w:r>
      <w:r>
        <w:rPr>
          <w:rStyle w:val="14"/>
          <w:rFonts w:hint="eastAsia" w:ascii="仿宋" w:hAnsi="仿宋" w:eastAsia="仿宋"/>
          <w:b w:val="0"/>
          <w:color w:val="000000"/>
          <w:sz w:val="32"/>
          <w:szCs w:val="32"/>
          <w:lang w:eastAsia="zh-CN"/>
        </w:rPr>
        <w:t>：</w:t>
      </w:r>
      <w:r>
        <w:rPr>
          <w:rStyle w:val="14"/>
          <w:rFonts w:hint="eastAsia" w:ascii="仿宋" w:hAnsi="仿宋" w:eastAsia="仿宋"/>
          <w:b w:val="0"/>
          <w:color w:val="000000"/>
          <w:sz w:val="32"/>
          <w:szCs w:val="32"/>
        </w:rPr>
        <w:t>指单位实施基本公共卫生服务支出。</w:t>
      </w:r>
    </w:p>
    <w:p>
      <w:pPr>
        <w:spacing w:line="600" w:lineRule="exact"/>
        <w:ind w:firstLine="640"/>
        <w:rPr>
          <w:rStyle w:val="14"/>
          <w:rFonts w:ascii="仿宋" w:hAnsi="仿宋" w:eastAsia="仿宋"/>
          <w:b w:val="0"/>
          <w:color w:val="000000"/>
          <w:sz w:val="32"/>
          <w:szCs w:val="32"/>
        </w:rPr>
      </w:pPr>
      <w:r>
        <w:rPr>
          <w:rFonts w:hint="eastAsia" w:ascii="仿宋" w:hAnsi="仿宋" w:eastAsia="仿宋"/>
          <w:color w:val="000000"/>
          <w:sz w:val="32"/>
          <w:szCs w:val="32"/>
        </w:rPr>
        <w:t>14、</w:t>
      </w:r>
      <w:r>
        <w:rPr>
          <w:rStyle w:val="14"/>
          <w:rFonts w:hint="eastAsia" w:ascii="仿宋" w:hAnsi="仿宋" w:eastAsia="仿宋"/>
          <w:b w:val="0"/>
          <w:color w:val="000000"/>
          <w:sz w:val="32"/>
          <w:szCs w:val="32"/>
        </w:rPr>
        <w:t>医疗卫生与计划生育（210）行政事业单位医疗（21011）事业单位医疗（2101102）</w:t>
      </w:r>
      <w:r>
        <w:rPr>
          <w:rStyle w:val="14"/>
          <w:rFonts w:hint="eastAsia" w:ascii="仿宋" w:hAnsi="仿宋" w:eastAsia="仿宋"/>
          <w:b w:val="0"/>
          <w:color w:val="000000"/>
          <w:sz w:val="32"/>
          <w:szCs w:val="32"/>
          <w:lang w:eastAsia="zh-CN"/>
        </w:rPr>
        <w:t>：</w:t>
      </w:r>
      <w:r>
        <w:rPr>
          <w:rStyle w:val="14"/>
          <w:rFonts w:hint="eastAsia" w:ascii="仿宋" w:hAnsi="仿宋" w:eastAsia="仿宋"/>
          <w:b w:val="0"/>
          <w:color w:val="000000"/>
          <w:sz w:val="32"/>
          <w:szCs w:val="32"/>
        </w:rPr>
        <w:t>指单位基本医疗保险服务支出。</w:t>
      </w:r>
    </w:p>
    <w:p>
      <w:pPr>
        <w:ind w:firstLine="640" w:firstLineChars="200"/>
        <w:rPr>
          <w:rStyle w:val="14"/>
          <w:rFonts w:ascii="仿宋" w:hAnsi="仿宋" w:eastAsia="仿宋"/>
          <w:b w:val="0"/>
          <w:color w:val="000000"/>
          <w:sz w:val="32"/>
          <w:szCs w:val="32"/>
        </w:rPr>
      </w:pPr>
      <w:r>
        <w:rPr>
          <w:rFonts w:hint="eastAsia" w:ascii="仿宋" w:hAnsi="仿宋" w:eastAsia="仿宋"/>
          <w:color w:val="000000"/>
          <w:sz w:val="32"/>
          <w:szCs w:val="32"/>
        </w:rPr>
        <w:t>15、住房保障支出</w:t>
      </w:r>
      <w:r>
        <w:rPr>
          <w:rStyle w:val="14"/>
          <w:rFonts w:hint="eastAsia" w:ascii="仿宋" w:hAnsi="仿宋" w:eastAsia="仿宋"/>
          <w:b w:val="0"/>
          <w:color w:val="000000"/>
          <w:sz w:val="32"/>
          <w:szCs w:val="32"/>
        </w:rPr>
        <w:t>（221）住房改革支出（22102）住房公积金（2210201）</w:t>
      </w:r>
      <w:r>
        <w:rPr>
          <w:rStyle w:val="14"/>
          <w:rFonts w:hint="eastAsia" w:ascii="仿宋" w:hAnsi="仿宋" w:eastAsia="仿宋"/>
          <w:b w:val="0"/>
          <w:color w:val="000000"/>
          <w:sz w:val="32"/>
          <w:szCs w:val="32"/>
          <w:lang w:eastAsia="zh-CN"/>
        </w:rPr>
        <w:t>：</w:t>
      </w:r>
      <w:r>
        <w:rPr>
          <w:rStyle w:val="14"/>
          <w:rFonts w:hint="eastAsia" w:ascii="仿宋" w:hAnsi="仿宋" w:eastAsia="仿宋"/>
          <w:b w:val="0"/>
          <w:color w:val="000000"/>
          <w:sz w:val="32"/>
          <w:szCs w:val="32"/>
        </w:rPr>
        <w:t>指单位保障住房性支出。</w:t>
      </w:r>
    </w:p>
    <w:p>
      <w:pPr>
        <w:spacing w:line="600" w:lineRule="exact"/>
        <w:jc w:val="center"/>
        <w:outlineLvl w:val="0"/>
        <w:rPr>
          <w:rFonts w:ascii="黑体" w:hAnsi="黑体" w:eastAsia="黑体"/>
          <w:color w:val="000000"/>
          <w:sz w:val="44"/>
          <w:szCs w:val="44"/>
        </w:rPr>
      </w:pPr>
      <w:bookmarkStart w:id="57" w:name="_Toc15396614"/>
      <w:bookmarkStart w:id="58"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达州市达川区堡子镇中心卫生院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楷体" w:hAnsi="楷体" w:eastAsia="楷体" w:cs="仿宋_GB2312"/>
          <w:sz w:val="32"/>
          <w:szCs w:val="32"/>
        </w:rPr>
      </w:pPr>
      <w:r>
        <w:rPr>
          <w:rFonts w:ascii="楷体" w:hAnsi="楷体" w:eastAsia="楷体" w:cs="仿宋_GB2312"/>
          <w:sz w:val="32"/>
          <w:szCs w:val="32"/>
        </w:rPr>
        <w:t>（一）机构组成。</w:t>
      </w:r>
    </w:p>
    <w:p>
      <w:pPr>
        <w:spacing w:line="58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达州市达川区堡子镇中心卫生院是一家财政补助事业单位，无其他下属单位。</w:t>
      </w:r>
    </w:p>
    <w:p>
      <w:pPr>
        <w:spacing w:line="58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w:t>
      </w:r>
      <w:r>
        <w:rPr>
          <w:rFonts w:ascii="楷体" w:hAnsi="楷体" w:eastAsia="楷体" w:cs="仿宋_GB2312"/>
          <w:sz w:val="32"/>
          <w:szCs w:val="32"/>
        </w:rPr>
        <w:t>机构职能。</w:t>
      </w:r>
    </w:p>
    <w:p>
      <w:pPr>
        <w:adjustRightInd w:val="0"/>
        <w:snapToGrid w:val="0"/>
        <w:spacing w:line="60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达州市达川区堡子镇中心卫生院是一所综合性事业医院，为辖区居民提供以预防保健、基本医疗、健康教育、康复为主要内容的综合性服务，全面实施国家基本公共卫生服务和重大公共卫生服务项目，提高全民健康意识。负责对村级卫生机构的技术指导和对乡村医生的培训。</w:t>
      </w:r>
    </w:p>
    <w:p>
      <w:pPr>
        <w:spacing w:line="57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拥有DR、B（彩）超、全自动生化分析仪、麻醉呼吸机等辅助设备，现设有内科、外科、妇产科、五官科、骨科、中医科、理疗科等科室。开展了中下腹部手术，剖宫产手术等常规手术。能对常见病，多发病以及部分疑难杂症做出准确的诊断和治疗。</w:t>
      </w:r>
    </w:p>
    <w:p>
      <w:pPr>
        <w:spacing w:line="58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（三）</w:t>
      </w:r>
      <w:r>
        <w:rPr>
          <w:rFonts w:ascii="楷体" w:hAnsi="楷体" w:eastAsia="楷体" w:cs="仿宋_GB2312"/>
          <w:sz w:val="32"/>
          <w:szCs w:val="32"/>
        </w:rPr>
        <w:t>人员概况。</w:t>
      </w:r>
    </w:p>
    <w:p>
      <w:pPr>
        <w:snapToGrid w:val="0"/>
        <w:spacing w:line="58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达川区堡子镇中心卫生院年末实有人数56人，其中事业专技人员42人、事业工勤人员3人、临聘人员11人（其中三支一扶2人）；退休人员23人。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本单位2018年财政资金收入</w:t>
      </w:r>
      <w:r>
        <w:rPr>
          <w:rFonts w:hint="eastAsia" w:ascii="仿宋" w:hAnsi="仿宋" w:eastAsia="仿宋"/>
          <w:color w:val="000000"/>
          <w:sz w:val="32"/>
          <w:szCs w:val="32"/>
          <w:lang w:val="en-US" w:eastAsia="zh-CN"/>
        </w:rPr>
        <w:t>507.66</w:t>
      </w:r>
      <w:r>
        <w:rPr>
          <w:rFonts w:hint="eastAsia" w:ascii="仿宋" w:hAnsi="仿宋" w:eastAsia="仿宋" w:cs="仿宋_GB2312"/>
          <w:sz w:val="32"/>
          <w:szCs w:val="32"/>
        </w:rPr>
        <w:t>万元，其中：一般公共预算财政拨款</w:t>
      </w:r>
      <w:r>
        <w:rPr>
          <w:rFonts w:hint="eastAsia" w:ascii="仿宋" w:hAnsi="仿宋" w:eastAsia="仿宋"/>
          <w:color w:val="000000"/>
          <w:sz w:val="32"/>
          <w:szCs w:val="32"/>
          <w:lang w:val="en-US" w:eastAsia="zh-CN"/>
        </w:rPr>
        <w:t>507.66</w:t>
      </w:r>
      <w:r>
        <w:rPr>
          <w:rFonts w:hint="eastAsia" w:ascii="仿宋" w:hAnsi="仿宋" w:eastAsia="仿宋" w:cs="仿宋_GB2312"/>
          <w:sz w:val="32"/>
          <w:szCs w:val="32"/>
        </w:rPr>
        <w:t>万元，政府性基金预算财政拨款</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numPr>
          <w:ilvl w:val="0"/>
          <w:numId w:val="6"/>
        </w:num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部门财政资金支出情况。</w:t>
      </w:r>
    </w:p>
    <w:p>
      <w:pPr>
        <w:spacing w:line="580" w:lineRule="exact"/>
        <w:rPr>
          <w:rFonts w:hint="eastAsia" w:ascii="仿宋" w:hAnsi="仿宋" w:eastAsia="仿宋" w:cs="仿宋_GB2312"/>
          <w:sz w:val="32"/>
          <w:szCs w:val="32"/>
        </w:rPr>
      </w:pPr>
      <w:r>
        <w:rPr>
          <w:rFonts w:hint="eastAsia" w:ascii="仿宋" w:hAnsi="仿宋" w:eastAsia="仿宋" w:cs="仿宋_GB2312"/>
          <w:sz w:val="32"/>
          <w:szCs w:val="32"/>
        </w:rPr>
        <w:t xml:space="preserve">   本单位2018年财政资金支出</w:t>
      </w:r>
      <w:r>
        <w:rPr>
          <w:rFonts w:hint="eastAsia" w:ascii="仿宋" w:hAnsi="仿宋" w:eastAsia="仿宋"/>
          <w:color w:val="000000"/>
          <w:sz w:val="32"/>
          <w:szCs w:val="32"/>
          <w:lang w:val="en-US" w:eastAsia="zh-CN"/>
        </w:rPr>
        <w:t>442.98</w:t>
      </w:r>
      <w:r>
        <w:rPr>
          <w:rFonts w:hint="eastAsia" w:ascii="仿宋" w:hAnsi="仿宋" w:eastAsia="仿宋" w:cs="仿宋_GB2312"/>
          <w:sz w:val="32"/>
          <w:szCs w:val="32"/>
        </w:rPr>
        <w:t>万元，其中：一般公共预算财政拨款</w:t>
      </w:r>
      <w:r>
        <w:rPr>
          <w:rFonts w:hint="eastAsia" w:ascii="仿宋" w:hAnsi="仿宋" w:eastAsia="仿宋"/>
          <w:color w:val="000000"/>
          <w:sz w:val="32"/>
          <w:szCs w:val="32"/>
          <w:lang w:val="en-US" w:eastAsia="zh-CN"/>
        </w:rPr>
        <w:t>442.98</w:t>
      </w:r>
      <w:r>
        <w:rPr>
          <w:rFonts w:hint="eastAsia" w:ascii="仿宋" w:hAnsi="仿宋" w:eastAsia="仿宋" w:cs="仿宋_GB2312"/>
          <w:sz w:val="32"/>
          <w:szCs w:val="32"/>
        </w:rPr>
        <w:t>万元，政府性基金预算财政拨款</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认真落实全面预算管理方针政策，基本支出强化预算统筹，项目支出强化专款专用，切实加强经费管理和预算管理。严格按照区财政局部门预算编制通知及有关要求，充分调查了解，做好前期准备工作，始终遵循部门预算编制的基本要求、程序要求及编制口径，紧紧围绕整体绩效目标，科学量化重点项目绩效目标，确保预算编制的准确性，按照科学的测算依据按时完成 2018年预算编制工作，按时完成基础库、项目库报送工作，并按时提交部门预算草案。绩效目标是预算编制的前提和基础，按照“费随事定”的原则，2018 年我院对项目按要求编制了部门预算项目绩效目标。从项目完成、项目效益、满意度等方面设置了绩效指标，综合反映项目预期完成的数量、成本、时效、质量，预期达到的社会效益、经济效益、生态效益、可持续影响以及服务对象满意度等情况。同时设置了以项目完成数量为核心的指标，用于评价绩效目标实际实现程度，反映与预期目标的偏离度。绩效目标编制要素完整，绩效指标设置做到了细化量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执行过程中，我院严格控制公用经费及非定额公用支出，认真开展绩效运行监控，积极推进预算执行进度，提高整体预算执行率。一是坚持将预算执行纳入单位目标考核，强化目标责任，树立预算管理的主体责任意识。二是开展预算执行中期评估调整工作。按照区财政局县级预算调整的要求，对照项目执行进度，及时做好沟通衔接，对经确认的暂不支出、执行留有结余的项目予以合理统筹调整，盘活资金，提高使用效率。三是积极开展绩效评价工作。严格落实基本公共卫生服务项目、基本药物资金补助等项目的绩效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截至</w:t>
      </w:r>
      <w:r>
        <w:rPr>
          <w:rFonts w:hint="eastAsia" w:ascii="仿宋" w:hAnsi="仿宋" w:eastAsia="仿宋" w:cs="仿宋_GB2312"/>
          <w:sz w:val="32"/>
          <w:szCs w:val="32"/>
        </w:rPr>
        <w:t xml:space="preserve"> 2018 年 12 月 31 日，我院 2018 年财政资金一般公共预算财政拨款执行进度为87.25%。</w:t>
      </w:r>
    </w:p>
    <w:p>
      <w:pPr>
        <w:spacing w:before="270" w:line="33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专项项目设立实行项目储备制。除按明确的数量、标准、比例等进行据实计算的实施基本药物制度、基本公共卫生服务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我</w:t>
      </w:r>
      <w:r>
        <w:rPr>
          <w:rFonts w:hint="eastAsia" w:ascii="仿宋" w:hAnsi="仿宋" w:eastAsia="仿宋" w:cs="仿宋_GB2312"/>
          <w:sz w:val="32"/>
          <w:szCs w:val="32"/>
        </w:rPr>
        <w:t>单位</w:t>
      </w:r>
      <w:r>
        <w:rPr>
          <w:rFonts w:ascii="仿宋" w:hAnsi="仿宋" w:eastAsia="仿宋" w:cs="仿宋_GB2312"/>
          <w:sz w:val="32"/>
          <w:szCs w:val="32"/>
        </w:rPr>
        <w:t>严格遵循《预算法》等相关法律法规和财政</w:t>
      </w:r>
      <w:r>
        <w:rPr>
          <w:rFonts w:hint="eastAsia" w:ascii="仿宋" w:hAnsi="仿宋" w:eastAsia="仿宋" w:cs="仿宋_GB2312"/>
          <w:sz w:val="32"/>
          <w:szCs w:val="32"/>
        </w:rPr>
        <w:t>局</w:t>
      </w:r>
      <w:r>
        <w:rPr>
          <w:rFonts w:ascii="仿宋" w:hAnsi="仿宋" w:eastAsia="仿宋" w:cs="仿宋_GB2312"/>
          <w:sz w:val="32"/>
          <w:szCs w:val="32"/>
        </w:rPr>
        <w:t>相关要求，在规定时间内随同预决算向社会公开部门绩效目标和部门整体绩效自评情况。针对各单位绩效评价发现的问题，要求各单位建立台账，逐一整改。并根据绩效评价和日常管理中，存在的共性问题，通过完善制度加以改进管理</w:t>
      </w:r>
      <w:r>
        <w:rPr>
          <w:rFonts w:hint="eastAsia"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楷体_GB2312" w:hAnsi="楷体_GB2312" w:eastAsia="Times New Roman" w:cs="楷体_GB2312"/>
          <w:color w:val="000000"/>
          <w:sz w:val="32"/>
          <w:szCs w:val="22"/>
        </w:rPr>
      </w:pPr>
      <w:r>
        <w:rPr>
          <w:rFonts w:ascii="楷体_GB2312" w:hAnsi="楷体_GB2312" w:eastAsia="Times New Roman" w:cs="楷体_GB2312"/>
          <w:color w:val="000000"/>
          <w:sz w:val="32"/>
          <w:szCs w:val="2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2018 年我</w:t>
      </w:r>
      <w:r>
        <w:rPr>
          <w:rFonts w:hint="eastAsia" w:ascii="仿宋" w:hAnsi="仿宋" w:eastAsia="仿宋" w:cs="仿宋_GB2312"/>
          <w:sz w:val="32"/>
          <w:szCs w:val="32"/>
        </w:rPr>
        <w:t>单位</w:t>
      </w:r>
      <w:r>
        <w:rPr>
          <w:rFonts w:ascii="仿宋" w:hAnsi="仿宋" w:eastAsia="仿宋" w:cs="仿宋_GB2312"/>
          <w:sz w:val="32"/>
          <w:szCs w:val="32"/>
        </w:rPr>
        <w:t>整体支出绩效评价自查自评结果良好。财务制度较健全，财务管理较规范，全年基本支出保障了部门的正常运行和日程工作的正常开展，</w:t>
      </w:r>
      <w:r>
        <w:rPr>
          <w:rFonts w:hint="eastAsia" w:ascii="仿宋" w:hAnsi="仿宋" w:eastAsia="仿宋" w:cs="仿宋_GB2312"/>
          <w:sz w:val="32"/>
          <w:szCs w:val="32"/>
        </w:rPr>
        <w:t>全额保障了</w:t>
      </w:r>
      <w:r>
        <w:rPr>
          <w:rFonts w:ascii="仿宋" w:hAnsi="仿宋" w:eastAsia="仿宋" w:cs="仿宋_GB2312"/>
          <w:sz w:val="32"/>
          <w:szCs w:val="32"/>
        </w:rPr>
        <w:t>项目支出工作的开展，履职成效明显，达到了预期绩效目标和预期经济效果。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信息化建设不够完善。预算管理绩效监控的动态调整能力有待进一步提高，把绩效监控结果有效应用到预算执行和调整上。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建议</w:t>
      </w:r>
      <w:r>
        <w:rPr>
          <w:rFonts w:hint="eastAsia" w:ascii="仿宋" w:hAnsi="仿宋" w:eastAsia="仿宋" w:cs="仿宋_GB2312"/>
          <w:sz w:val="32"/>
          <w:szCs w:val="32"/>
        </w:rPr>
        <w:t>区财政局</w:t>
      </w:r>
      <w:r>
        <w:rPr>
          <w:rFonts w:ascii="仿宋" w:hAnsi="仿宋" w:eastAsia="仿宋" w:cs="仿宋_GB2312"/>
          <w:sz w:val="32"/>
          <w:szCs w:val="32"/>
        </w:rPr>
        <w:t>根据实际需求，重新核定</w:t>
      </w:r>
      <w:r>
        <w:rPr>
          <w:rFonts w:hint="eastAsia" w:ascii="仿宋" w:hAnsi="仿宋" w:eastAsia="仿宋" w:cs="仿宋_GB2312"/>
          <w:sz w:val="32"/>
          <w:szCs w:val="32"/>
        </w:rPr>
        <w:t>我</w:t>
      </w:r>
      <w:r>
        <w:rPr>
          <w:rFonts w:ascii="仿宋" w:hAnsi="仿宋" w:eastAsia="仿宋" w:cs="仿宋_GB2312"/>
          <w:sz w:val="32"/>
          <w:szCs w:val="32"/>
        </w:rPr>
        <w:t>单位</w:t>
      </w:r>
      <w:r>
        <w:rPr>
          <w:rFonts w:hint="eastAsia" w:ascii="仿宋" w:hAnsi="仿宋" w:eastAsia="仿宋" w:cs="仿宋_GB2312"/>
          <w:sz w:val="32"/>
          <w:szCs w:val="32"/>
        </w:rPr>
        <w:t>医疗收入和</w:t>
      </w:r>
      <w:r>
        <w:rPr>
          <w:rFonts w:ascii="仿宋" w:hAnsi="仿宋" w:eastAsia="仿宋" w:cs="仿宋_GB2312"/>
          <w:sz w:val="32"/>
          <w:szCs w:val="32"/>
        </w:rPr>
        <w:t>基本支出控制数，提高</w:t>
      </w:r>
      <w:r>
        <w:rPr>
          <w:rFonts w:hint="eastAsia" w:ascii="仿宋" w:hAnsi="仿宋" w:eastAsia="仿宋" w:cs="仿宋_GB2312"/>
          <w:sz w:val="32"/>
          <w:szCs w:val="32"/>
        </w:rPr>
        <w:t>财政补助</w:t>
      </w:r>
      <w:r>
        <w:rPr>
          <w:rFonts w:ascii="仿宋" w:hAnsi="仿宋" w:eastAsia="仿宋" w:cs="仿宋_GB2312"/>
          <w:sz w:val="32"/>
          <w:szCs w:val="32"/>
        </w:rPr>
        <w:t>经费定额标准，保证正常工作运转。</w:t>
      </w:r>
    </w:p>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2018年堡子镇中心卫生院项目支出绩效评价报告</w:t>
      </w:r>
    </w:p>
    <w:p>
      <w:pPr>
        <w:spacing w:line="58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一、评价工作开展及项目情况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提高基本公共卫生服务项目均等化水平，推进基本</w:t>
      </w:r>
      <w:r>
        <w:rPr>
          <w:rFonts w:hint="eastAsia" w:ascii="仿宋" w:hAnsi="仿宋" w:eastAsia="仿宋"/>
          <w:sz w:val="32"/>
          <w:szCs w:val="32"/>
          <w:lang w:eastAsia="zh-CN"/>
        </w:rPr>
        <w:t>公共卫生</w:t>
      </w:r>
      <w:r>
        <w:rPr>
          <w:rFonts w:hint="eastAsia" w:ascii="仿宋" w:hAnsi="仿宋" w:eastAsia="仿宋"/>
          <w:sz w:val="32"/>
          <w:szCs w:val="32"/>
        </w:rPr>
        <w:t>服务项目开展</w:t>
      </w:r>
      <w:r>
        <w:rPr>
          <w:rFonts w:hint="eastAsia" w:ascii="仿宋" w:hAnsi="仿宋" w:eastAsia="仿宋"/>
          <w:sz w:val="32"/>
          <w:szCs w:val="32"/>
          <w:lang w:eastAsia="zh-CN"/>
        </w:rPr>
        <w:t>；巩固基本药物制度，不断提升服务能力和水平，筑牢基层医疗卫生服务网底，实现医改“保基本、强基层、建机制”的目标。开展项目是基本公共卫生服务和基层医疗机构基本药物制度</w:t>
      </w:r>
      <w:r>
        <w:rPr>
          <w:rFonts w:hint="eastAsia" w:ascii="仿宋" w:hAnsi="仿宋" w:eastAsia="仿宋"/>
          <w:sz w:val="32"/>
          <w:szCs w:val="32"/>
        </w:rPr>
        <w:t>。</w:t>
      </w:r>
    </w:p>
    <w:p>
      <w:pPr>
        <w:spacing w:line="58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二、评价结论及绩效分析</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（一）评价结论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总体看，我单位预算编制及执行</w:t>
      </w:r>
      <w:r>
        <w:rPr>
          <w:rFonts w:hint="eastAsia" w:ascii="仿宋" w:hAnsi="仿宋" w:eastAsia="仿宋"/>
          <w:sz w:val="32"/>
          <w:szCs w:val="32"/>
          <w:lang w:eastAsia="zh-CN"/>
        </w:rPr>
        <w:t>决策</w:t>
      </w:r>
      <w:r>
        <w:rPr>
          <w:rFonts w:hint="eastAsia" w:ascii="仿宋" w:hAnsi="仿宋" w:eastAsia="仿宋"/>
          <w:sz w:val="32"/>
          <w:szCs w:val="32"/>
        </w:rPr>
        <w:t>较为准确，支出管理较为规范，财务管理制度较完善，</w:t>
      </w:r>
      <w:r>
        <w:rPr>
          <w:rFonts w:hint="eastAsia" w:ascii="仿宋" w:hAnsi="仿宋" w:eastAsia="仿宋"/>
          <w:sz w:val="32"/>
          <w:szCs w:val="32"/>
          <w:lang w:eastAsia="zh-CN"/>
        </w:rPr>
        <w:t>项目支出</w:t>
      </w:r>
      <w:r>
        <w:rPr>
          <w:rFonts w:hint="eastAsia" w:ascii="仿宋" w:hAnsi="仿宋" w:eastAsia="仿宋"/>
          <w:sz w:val="32"/>
          <w:szCs w:val="32"/>
        </w:rPr>
        <w:t>整体绩效较好。</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1、项目决策</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（1）、资金计划及到位。基本公共卫生服务</w:t>
      </w:r>
      <w:r>
        <w:rPr>
          <w:rFonts w:hint="eastAsia" w:ascii="仿宋" w:hAnsi="仿宋" w:eastAsia="仿宋"/>
          <w:sz w:val="32"/>
          <w:szCs w:val="32"/>
          <w:lang w:eastAsia="zh-CN"/>
        </w:rPr>
        <w:t>下拨资金</w:t>
      </w:r>
      <w:r>
        <w:rPr>
          <w:rFonts w:hint="eastAsia" w:ascii="仿宋" w:hAnsi="仿宋" w:eastAsia="仿宋"/>
          <w:sz w:val="32"/>
          <w:szCs w:val="32"/>
          <w:lang w:val="en-US" w:eastAsia="zh-CN"/>
        </w:rPr>
        <w:t>99.19万元、基层医疗机构基本药物制度</w:t>
      </w:r>
      <w:r>
        <w:rPr>
          <w:rFonts w:hint="eastAsia" w:ascii="仿宋" w:hAnsi="仿宋" w:eastAsia="仿宋"/>
          <w:sz w:val="32"/>
          <w:szCs w:val="32"/>
          <w:lang w:eastAsia="zh-CN"/>
        </w:rPr>
        <w:t>下拨资金</w:t>
      </w:r>
      <w:r>
        <w:rPr>
          <w:rFonts w:hint="eastAsia" w:ascii="仿宋" w:hAnsi="仿宋" w:eastAsia="仿宋"/>
          <w:sz w:val="32"/>
          <w:szCs w:val="32"/>
          <w:lang w:val="en-US" w:eastAsia="zh-CN"/>
        </w:rPr>
        <w:t>24.33万元</w:t>
      </w:r>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（2）、资金使用。</w:t>
      </w:r>
      <w:r>
        <w:rPr>
          <w:rFonts w:hint="eastAsia" w:ascii="仿宋" w:hAnsi="仿宋" w:eastAsia="仿宋"/>
          <w:sz w:val="32"/>
          <w:szCs w:val="32"/>
          <w:lang w:eastAsia="zh-CN"/>
        </w:rPr>
        <w:t>各单位根据业务需要购买货物及工作运行开支</w:t>
      </w:r>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2、项目管理</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规范基本公共卫生服务行为，推进基本</w:t>
      </w:r>
      <w:r>
        <w:rPr>
          <w:rFonts w:hint="eastAsia" w:ascii="仿宋" w:hAnsi="仿宋" w:eastAsia="仿宋" w:cs="仿宋_GB2312"/>
          <w:sz w:val="32"/>
          <w:szCs w:val="32"/>
          <w:lang w:eastAsia="zh-CN"/>
        </w:rPr>
        <w:t>公共卫生</w:t>
      </w:r>
      <w:r>
        <w:rPr>
          <w:rFonts w:hint="eastAsia" w:ascii="仿宋" w:hAnsi="仿宋" w:eastAsia="仿宋" w:cs="仿宋_GB2312"/>
          <w:sz w:val="32"/>
          <w:szCs w:val="32"/>
        </w:rPr>
        <w:t>服务项目开展，不断提升服务能力和水平，筑牢基层医疗卫生服务网底，实现医改“保基本、强基层、建机制”的目标。</w:t>
      </w:r>
      <w:r>
        <w:rPr>
          <w:rFonts w:hint="eastAsia" w:ascii="仿宋" w:hAnsi="仿宋" w:eastAsia="仿宋" w:cs="仿宋_GB2312"/>
          <w:sz w:val="32"/>
          <w:szCs w:val="32"/>
          <w:lang w:eastAsia="zh-CN"/>
        </w:rPr>
        <w:t>通确保</w:t>
      </w:r>
      <w:r>
        <w:rPr>
          <w:rFonts w:hint="eastAsia" w:ascii="仿宋" w:hAnsi="仿宋" w:eastAsia="仿宋"/>
          <w:sz w:val="32"/>
          <w:szCs w:val="32"/>
          <w:lang w:eastAsia="zh-CN"/>
        </w:rPr>
        <w:t>基本公共卫生服务和基层医疗机构基本药物制度顺利实施。</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3、项目绩效</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为广大群众提供公共卫生安全保障</w:t>
      </w:r>
      <w:r>
        <w:rPr>
          <w:rFonts w:hint="eastAsia" w:ascii="仿宋" w:hAnsi="仿宋" w:eastAsia="仿宋"/>
          <w:sz w:val="32"/>
          <w:szCs w:val="32"/>
          <w:lang w:eastAsia="zh-CN"/>
        </w:rPr>
        <w:t>，居民满意度、建档立卡贫困户满意度</w:t>
      </w:r>
      <w:r>
        <w:rPr>
          <w:rFonts w:hint="eastAsia" w:ascii="仿宋" w:hAnsi="仿宋" w:eastAsia="仿宋"/>
          <w:sz w:val="32"/>
          <w:szCs w:val="32"/>
          <w:lang w:val="en-US" w:eastAsia="zh-CN"/>
        </w:rPr>
        <w:t>100</w:t>
      </w:r>
      <w:r>
        <w:rPr>
          <w:rFonts w:hint="eastAsia" w:ascii="仿宋" w:hAnsi="仿宋" w:eastAsia="仿宋"/>
          <w:sz w:val="32"/>
          <w:szCs w:val="32"/>
          <w:lang w:eastAsia="zh-CN"/>
        </w:rPr>
        <w:t>%；基本药物零差率销售率</w:t>
      </w:r>
      <w:r>
        <w:rPr>
          <w:rFonts w:hint="eastAsia" w:ascii="仿宋" w:hAnsi="仿宋" w:eastAsia="仿宋"/>
          <w:sz w:val="32"/>
          <w:szCs w:val="32"/>
          <w:lang w:val="en-US" w:eastAsia="zh-CN"/>
        </w:rPr>
        <w:t>100%，政府办基层医疗卫生机构基本药物制度覆盖率100%</w:t>
      </w:r>
      <w:r>
        <w:rPr>
          <w:rFonts w:hint="eastAsia" w:ascii="仿宋" w:hAnsi="仿宋" w:eastAsia="仿宋"/>
          <w:sz w:val="32"/>
          <w:szCs w:val="32"/>
        </w:rPr>
        <w:t>。</w:t>
      </w:r>
    </w:p>
    <w:p>
      <w:pPr>
        <w:spacing w:line="58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（三）存在主要问题</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sz w:val="32"/>
          <w:szCs w:val="32"/>
        </w:rPr>
        <w:t>一是预算不够明确和细化。预算执行力度还要进一步加强。二是单位缺少专业的会计人员。三是各项管理制度还待进一步完善。</w:t>
      </w:r>
    </w:p>
    <w:p>
      <w:pPr>
        <w:spacing w:line="58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（四）相关措施建议</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1、细化预算编制工作，将进一步重视预算的编制工作，加强单位内部机构的预算管理意识，科学规划预算编制的精确度，提高财政资金使用效率，加强内部预算编制的审核和预算控制指标的下达。</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2、建议财政部门加强对财务人员做好各项财务工作的指导和培训，尤其是加强《</w:t>
      </w:r>
      <w:r>
        <w:rPr>
          <w:rFonts w:hint="eastAsia" w:ascii="仿宋" w:hAnsi="仿宋" w:eastAsia="仿宋"/>
          <w:sz w:val="32"/>
          <w:szCs w:val="32"/>
          <w:lang w:eastAsia="zh-CN"/>
        </w:rPr>
        <w:t>政府会计制度</w:t>
      </w:r>
      <w:r>
        <w:rPr>
          <w:rFonts w:hint="eastAsia" w:ascii="仿宋" w:hAnsi="仿宋" w:eastAsia="仿宋"/>
          <w:sz w:val="32"/>
          <w:szCs w:val="32"/>
        </w:rPr>
        <w:t>》等新的会计制度学习和培训，规范部门预算收支核算。</w:t>
      </w:r>
    </w:p>
    <w:p>
      <w:pPr>
        <w:spacing w:line="580" w:lineRule="exact"/>
        <w:ind w:firstLine="640" w:firstLineChars="200"/>
        <w:rPr>
          <w:rFonts w:hint="eastAsia" w:ascii="仿宋_GB2312" w:hAnsi="仿宋_GB2312" w:eastAsia="仿宋_GB2312" w:cs="仿宋_GB2312"/>
          <w:sz w:val="32"/>
          <w:szCs w:val="32"/>
        </w:rPr>
      </w:pPr>
      <w:r>
        <w:rPr>
          <w:rFonts w:hint="eastAsia" w:ascii="仿宋" w:hAnsi="仿宋" w:eastAsia="仿宋"/>
          <w:sz w:val="32"/>
          <w:szCs w:val="32"/>
        </w:rPr>
        <w:t>3、进一步完善和落实相关管理制度，加强内部控制管理制度学习，严格遵照相关制度贯彻落实到位，做到精细化管理。</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600" w:lineRule="exact"/>
        <w:jc w:val="center"/>
        <w:outlineLvl w:val="0"/>
        <w:rPr>
          <w:rFonts w:ascii="黑体" w:hAnsi="黑体" w:eastAsia="黑体"/>
          <w:color w:val="000000"/>
          <w:sz w:val="44"/>
          <w:szCs w:val="44"/>
        </w:rPr>
      </w:pPr>
      <w:bookmarkStart w:id="62" w:name="_Toc15396618"/>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6DEA2601"/>
    <w:multiLevelType w:val="singleLevel"/>
    <w:tmpl w:val="6DEA2601"/>
    <w:lvl w:ilvl="0" w:tentative="0">
      <w:start w:val="2"/>
      <w:numFmt w:val="chineseCounting"/>
      <w:suff w:val="nothing"/>
      <w:lvlText w:val="（%1）"/>
      <w:lvlJc w:val="left"/>
      <w:pPr>
        <w:ind w:left="0" w:firstLine="0"/>
      </w:pPr>
    </w:lvl>
  </w:abstractNum>
  <w:num w:numId="1">
    <w:abstractNumId w:val="3"/>
  </w:num>
  <w:num w:numId="2">
    <w:abstractNumId w:val="0"/>
  </w:num>
  <w:num w:numId="3">
    <w:abstractNumId w:val="4"/>
  </w:num>
  <w:num w:numId="4">
    <w:abstractNumId w:val="2"/>
  </w:num>
  <w:num w:numId="5">
    <w:abstractNumId w:val="1"/>
  </w:num>
  <w:num w:numId="6">
    <w:abstractNumId w:val="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jRjMzY4Y2EyMDI4MzcwODVjNmZjZTYyZTdiNzAifQ=="/>
  </w:docVars>
  <w:rsids>
    <w:rsidRoot w:val="00F1361C"/>
    <w:rsid w:val="000222C6"/>
    <w:rsid w:val="0002549F"/>
    <w:rsid w:val="0002716C"/>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47D9"/>
    <w:rsid w:val="00196687"/>
    <w:rsid w:val="001C0962"/>
    <w:rsid w:val="001D7531"/>
    <w:rsid w:val="001E737D"/>
    <w:rsid w:val="001F0592"/>
    <w:rsid w:val="001F7506"/>
    <w:rsid w:val="002006CD"/>
    <w:rsid w:val="00202B36"/>
    <w:rsid w:val="00204B7A"/>
    <w:rsid w:val="0021101A"/>
    <w:rsid w:val="00220536"/>
    <w:rsid w:val="00235629"/>
    <w:rsid w:val="002566DE"/>
    <w:rsid w:val="00260C38"/>
    <w:rsid w:val="002616C0"/>
    <w:rsid w:val="002662AA"/>
    <w:rsid w:val="002707AA"/>
    <w:rsid w:val="00280496"/>
    <w:rsid w:val="00281677"/>
    <w:rsid w:val="00295495"/>
    <w:rsid w:val="002B2613"/>
    <w:rsid w:val="002F1818"/>
    <w:rsid w:val="002F567B"/>
    <w:rsid w:val="003216A9"/>
    <w:rsid w:val="00333E12"/>
    <w:rsid w:val="003451C3"/>
    <w:rsid w:val="00366006"/>
    <w:rsid w:val="0037013F"/>
    <w:rsid w:val="00380C92"/>
    <w:rsid w:val="003A484F"/>
    <w:rsid w:val="003B0BE0"/>
    <w:rsid w:val="003B0C1B"/>
    <w:rsid w:val="003B688C"/>
    <w:rsid w:val="003C0291"/>
    <w:rsid w:val="003C39AE"/>
    <w:rsid w:val="003C7B60"/>
    <w:rsid w:val="003D1FB2"/>
    <w:rsid w:val="003D66DA"/>
    <w:rsid w:val="003E1310"/>
    <w:rsid w:val="003E6F55"/>
    <w:rsid w:val="003F1C7F"/>
    <w:rsid w:val="00406254"/>
    <w:rsid w:val="004223DE"/>
    <w:rsid w:val="00434489"/>
    <w:rsid w:val="00437085"/>
    <w:rsid w:val="00443880"/>
    <w:rsid w:val="004464F4"/>
    <w:rsid w:val="00455DFC"/>
    <w:rsid w:val="00471401"/>
    <w:rsid w:val="00473F31"/>
    <w:rsid w:val="0048263A"/>
    <w:rsid w:val="00487E5D"/>
    <w:rsid w:val="004A46EC"/>
    <w:rsid w:val="004A711F"/>
    <w:rsid w:val="004B199D"/>
    <w:rsid w:val="004B4690"/>
    <w:rsid w:val="004E0A2D"/>
    <w:rsid w:val="004E206B"/>
    <w:rsid w:val="004E6DF7"/>
    <w:rsid w:val="004F0FBD"/>
    <w:rsid w:val="00505A47"/>
    <w:rsid w:val="00512FDA"/>
    <w:rsid w:val="0051630B"/>
    <w:rsid w:val="00520DA0"/>
    <w:rsid w:val="005664BB"/>
    <w:rsid w:val="0057481D"/>
    <w:rsid w:val="0058486E"/>
    <w:rsid w:val="005D1C8B"/>
    <w:rsid w:val="005D5CED"/>
    <w:rsid w:val="005F1A4C"/>
    <w:rsid w:val="00605688"/>
    <w:rsid w:val="00605D5B"/>
    <w:rsid w:val="006070AF"/>
    <w:rsid w:val="00607E6C"/>
    <w:rsid w:val="006101B1"/>
    <w:rsid w:val="00614E44"/>
    <w:rsid w:val="00622830"/>
    <w:rsid w:val="00630AEF"/>
    <w:rsid w:val="006325F8"/>
    <w:rsid w:val="00634C9A"/>
    <w:rsid w:val="006440E4"/>
    <w:rsid w:val="0065103B"/>
    <w:rsid w:val="0066343B"/>
    <w:rsid w:val="00664777"/>
    <w:rsid w:val="006748A4"/>
    <w:rsid w:val="00683E73"/>
    <w:rsid w:val="006A3141"/>
    <w:rsid w:val="006A5E34"/>
    <w:rsid w:val="006B2422"/>
    <w:rsid w:val="006B2B9A"/>
    <w:rsid w:val="006C1937"/>
    <w:rsid w:val="006C2645"/>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E31C0"/>
    <w:rsid w:val="007F1991"/>
    <w:rsid w:val="007F2C2F"/>
    <w:rsid w:val="007F55FC"/>
    <w:rsid w:val="007F5665"/>
    <w:rsid w:val="00800112"/>
    <w:rsid w:val="008253BB"/>
    <w:rsid w:val="0083706E"/>
    <w:rsid w:val="008423A5"/>
    <w:rsid w:val="00850625"/>
    <w:rsid w:val="00851229"/>
    <w:rsid w:val="00853718"/>
    <w:rsid w:val="00855221"/>
    <w:rsid w:val="00860645"/>
    <w:rsid w:val="00871F71"/>
    <w:rsid w:val="00885AF4"/>
    <w:rsid w:val="008939CD"/>
    <w:rsid w:val="008B768C"/>
    <w:rsid w:val="008C4DB1"/>
    <w:rsid w:val="008C4EAF"/>
    <w:rsid w:val="008C5176"/>
    <w:rsid w:val="008C7FD0"/>
    <w:rsid w:val="008D2D2F"/>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7D0"/>
    <w:rsid w:val="009B4EAE"/>
    <w:rsid w:val="009B7573"/>
    <w:rsid w:val="009C22F4"/>
    <w:rsid w:val="009C2E98"/>
    <w:rsid w:val="009D3447"/>
    <w:rsid w:val="009D4711"/>
    <w:rsid w:val="009F1185"/>
    <w:rsid w:val="009F18CD"/>
    <w:rsid w:val="009F2A13"/>
    <w:rsid w:val="00A04EB0"/>
    <w:rsid w:val="00A13CC1"/>
    <w:rsid w:val="00A16847"/>
    <w:rsid w:val="00A17F9D"/>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0482"/>
    <w:rsid w:val="00B310B9"/>
    <w:rsid w:val="00B35E56"/>
    <w:rsid w:val="00B35F3F"/>
    <w:rsid w:val="00B36CBB"/>
    <w:rsid w:val="00B425E0"/>
    <w:rsid w:val="00B440AA"/>
    <w:rsid w:val="00B44B70"/>
    <w:rsid w:val="00B53C56"/>
    <w:rsid w:val="00B72B57"/>
    <w:rsid w:val="00B77EA6"/>
    <w:rsid w:val="00B81598"/>
    <w:rsid w:val="00B841F1"/>
    <w:rsid w:val="00B944D6"/>
    <w:rsid w:val="00BB4DF0"/>
    <w:rsid w:val="00BB634C"/>
    <w:rsid w:val="00BC289F"/>
    <w:rsid w:val="00BC5361"/>
    <w:rsid w:val="00BC5460"/>
    <w:rsid w:val="00BC6B50"/>
    <w:rsid w:val="00BD0E25"/>
    <w:rsid w:val="00BF5BD6"/>
    <w:rsid w:val="00C03E31"/>
    <w:rsid w:val="00C33E72"/>
    <w:rsid w:val="00C354B2"/>
    <w:rsid w:val="00C35554"/>
    <w:rsid w:val="00C42709"/>
    <w:rsid w:val="00C533CC"/>
    <w:rsid w:val="00C5751C"/>
    <w:rsid w:val="00C612AD"/>
    <w:rsid w:val="00C61BFC"/>
    <w:rsid w:val="00C62B85"/>
    <w:rsid w:val="00C65438"/>
    <w:rsid w:val="00C91CBB"/>
    <w:rsid w:val="00C95058"/>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3ACF"/>
    <w:rsid w:val="00DD73B7"/>
    <w:rsid w:val="00DE0A7C"/>
    <w:rsid w:val="00DF28BC"/>
    <w:rsid w:val="00DF34B9"/>
    <w:rsid w:val="00E01053"/>
    <w:rsid w:val="00E07ACF"/>
    <w:rsid w:val="00E228DC"/>
    <w:rsid w:val="00E331A1"/>
    <w:rsid w:val="00E33202"/>
    <w:rsid w:val="00E336A9"/>
    <w:rsid w:val="00E47A61"/>
    <w:rsid w:val="00E50624"/>
    <w:rsid w:val="00E568DF"/>
    <w:rsid w:val="00E61807"/>
    <w:rsid w:val="00E64269"/>
    <w:rsid w:val="00E82267"/>
    <w:rsid w:val="00E8411A"/>
    <w:rsid w:val="00E92390"/>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C2F87"/>
    <w:rsid w:val="00FD3CC1"/>
    <w:rsid w:val="00FF1E02"/>
    <w:rsid w:val="00FF268B"/>
    <w:rsid w:val="00FF30B4"/>
    <w:rsid w:val="0CE915BB"/>
    <w:rsid w:val="10952CA1"/>
    <w:rsid w:val="10C055FF"/>
    <w:rsid w:val="16BB723D"/>
    <w:rsid w:val="240371BF"/>
    <w:rsid w:val="243A67F3"/>
    <w:rsid w:val="24D26195"/>
    <w:rsid w:val="24F24D32"/>
    <w:rsid w:val="29FD04D3"/>
    <w:rsid w:val="319F7F4E"/>
    <w:rsid w:val="38EF191A"/>
    <w:rsid w:val="458178B3"/>
    <w:rsid w:val="57EC2217"/>
    <w:rsid w:val="61747FF1"/>
    <w:rsid w:val="633D59CD"/>
    <w:rsid w:val="6CD9402B"/>
    <w:rsid w:val="75227D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列出段落1"/>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3CA78-037D-4BF5-A210-F19434AD24C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7806</Words>
  <Characters>8602</Characters>
  <Lines>26</Lines>
  <Paragraphs>20</Paragraphs>
  <TotalTime>9</TotalTime>
  <ScaleCrop>false</ScaleCrop>
  <LinksUpToDate>false</LinksUpToDate>
  <CharactersWithSpaces>8680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2019-09-05T01:10:00Z</dcterms:created>
  <dc:creator>张彬茜</dc:creator>
  <cp:lastModifiedBy>Hakuna matata</cp:lastModifiedBy>
  <cp:lastPrinted>2019-09-18T08:29:00Z</cp:lastPrinted>
  <dcterms:modified xsi:type="dcterms:W3CDTF">2022-12-21T01:16:34Z</dcterms:modified>
  <dc:title>四川省***</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DA57AF55ABE74D48BD21B7FB0C917427</vt:lpwstr>
  </property>
</Properties>
</file>