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bookmarkStart w:id="2" w:name="_Toc15378441"/>
      <w:bookmarkStart w:id="3" w:name="_Toc15396597"/>
      <w:bookmarkStart w:id="4" w:name="_Toc15377425"/>
      <w:bookmarkStart w:id="5" w:name="_Toc15396475"/>
      <w:bookmarkStart w:id="6" w:name="_Toc15377193"/>
      <w:r>
        <w:rPr>
          <w:rFonts w:ascii="黑体" w:eastAsia="黑体"/>
          <w:color w:val="000000"/>
          <w:sz w:val="72"/>
          <w:szCs w:val="72"/>
        </w:rPr>
        <w:t>201</w:t>
      </w:r>
      <w:r>
        <w:rPr>
          <w:rFonts w:ascii="黑体" w:eastAsia="黑体" w:hint="eastAsia"/>
          <w:color w:val="000000"/>
          <w:sz w:val="72"/>
          <w:szCs w:val="72"/>
        </w:rPr>
        <w:t>8</w:t>
      </w:r>
      <w:r>
        <w:rPr>
          <w:rFonts w:ascii="方正小标宋简体" w:eastAsia="方正小标宋简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olor w:val="000000"/>
          <w:sz w:val="72"/>
          <w:szCs w:val="72"/>
        </w:rPr>
      </w:pPr>
      <w:bookmarkStart w:id="7" w:name="_Toc15396598"/>
      <w:bookmarkStart w:id="8" w:name="_Toc15396476"/>
      <w:bookmarkStart w:id="9" w:name="_Toc15378442"/>
      <w:bookmarkStart w:id="10" w:name="_Toc15377426"/>
      <w:bookmarkStart w:id="11" w:name="_Toc15377194"/>
      <w:r>
        <w:rPr>
          <w:rFonts w:ascii="方正小标宋简体" w:eastAsia="方正小标宋简体" w:hint="eastAsia"/>
          <w:color w:val="000000"/>
          <w:sz w:val="72"/>
          <w:szCs w:val="72"/>
        </w:rPr>
        <w:t>四川省</w:t>
      </w:r>
      <w:bookmarkStart w:id="12" w:name="_Toc15306268"/>
      <w:bookmarkEnd w:id="0"/>
      <w:r>
        <w:rPr>
          <w:rFonts w:ascii="方正小标宋简体" w:eastAsia="方正小标宋简体" w:hint="eastAsia"/>
          <w:color w:val="000000"/>
          <w:sz w:val="72"/>
          <w:szCs w:val="72"/>
        </w:rPr>
        <w:t>达州市达川区</w:t>
      </w:r>
    </w:p>
    <w:p>
      <w:pPr>
        <w:adjustRightInd w:val="0"/>
        <w:snapToGrid w:val="0"/>
        <w:spacing w:line="360" w:lineRule="auto"/>
        <w:jc w:val="center"/>
        <w:outlineLvl w:val="0"/>
        <w:rPr>
          <w:rFonts w:ascii="方正小标宋简体" w:eastAsia="方正小标宋简体"/>
          <w:color w:val="000000"/>
          <w:sz w:val="72"/>
          <w:szCs w:val="72"/>
        </w:rPr>
      </w:pPr>
      <w:r>
        <w:rPr>
          <w:rFonts w:ascii="方正小标宋简体" w:eastAsia="方正小标宋简体" w:hint="eastAsia"/>
          <w:color w:val="000000"/>
          <w:sz w:val="72"/>
          <w:szCs w:val="72"/>
        </w:rPr>
        <w:t>永进乡人民政府部门决算</w:t>
      </w:r>
      <w:bookmarkEnd w:id="7"/>
      <w:bookmarkEnd w:id="8"/>
      <w:bookmarkEnd w:id="9"/>
      <w:bookmarkEnd w:id="10"/>
      <w:bookmarkEnd w:id="11"/>
      <w:bookmarkEnd w:id="12"/>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20"/>
        <w:tabs>
          <w:tab w:val="right" w:leader="dot" w:pos="8296"/>
        </w:tabs>
      </w:pPr>
      <w:r>
        <w:rPr>
          <w:rFonts w:hint="eastAsia"/>
        </w:rPr>
        <w:t>公开时间：2019年9月11日</w:t>
      </w:r>
    </w:p>
    <w:p/>
    <w:p>
      <w:pPr>
        <w:pStyle w:val="20"/>
        <w:tabs>
          <w:tab w:val="right" w:leader="dot" w:pos="8296"/>
        </w:tabs>
        <w:rPr>
          <w:rFonts w:cs="Arial"/>
        </w:rPr>
      </w:pPr>
      <w:r>
        <w:fldChar w:fldCharType="begin"/>
      </w:r>
      <w:r>
        <w:instrText>Hyperlink \l "_Toc15396599"</w:instrText>
      </w:r>
      <w:r>
        <w:fldChar w:fldCharType="separate"/>
      </w:r>
      <w:r>
        <w:rPr>
          <w:rFonts w:hint="eastAsia"/>
        </w:rPr>
        <w:t>第一部分部门概况</w:t>
      </w:r>
      <w:r>
        <w:tab/>
      </w:r>
      <w:r>
        <w:rPr>
          <w:rFonts w:hint="eastAsia"/>
        </w:rPr>
        <w:t>4</w:t>
      </w:r>
      <w:r>
        <w:fldChar w:fldCharType="end"/>
      </w:r>
    </w:p>
    <w:p>
      <w:pPr>
        <w:pStyle w:val="21"/>
        <w:tabs>
          <w:tab w:val="right" w:leader="dot" w:pos="8296"/>
        </w:tabs>
        <w:rPr>
          <w:rFonts w:ascii="仿宋" w:eastAsia="仿宋" w:cs="Arial"/>
          <w:sz w:val="28"/>
          <w:szCs w:val="28"/>
        </w:rPr>
      </w:pPr>
      <w:r>
        <w:fldChar w:fldCharType="begin"/>
      </w:r>
      <w:r>
        <w:instrText>Hyperlink \l "_Toc15396600"</w:instrText>
      </w:r>
      <w:r>
        <w:fldChar w:fldCharType="separate"/>
      </w:r>
      <w:r>
        <w:rPr>
          <w:rFonts w:ascii="仿宋" w:eastAsia="仿宋" w:hint="eastAsia"/>
          <w:sz w:val="28"/>
          <w:szCs w:val="28"/>
        </w:rPr>
        <w:t>一、基本职能及主要工作</w:t>
      </w:r>
      <w:r>
        <w:rPr>
          <w:rFonts w:ascii="仿宋" w:eastAsia="仿宋"/>
          <w:sz w:val="28"/>
          <w:szCs w:val="28"/>
        </w:rPr>
        <w:tab/>
      </w:r>
      <w:r>
        <w:rPr>
          <w:rFonts w:ascii="仿宋" w:eastAsia="仿宋" w:hint="eastAsia"/>
          <w:sz w:val="28"/>
          <w:szCs w:val="28"/>
        </w:rPr>
        <w:t>4</w:t>
      </w:r>
      <w:r>
        <w:fldChar w:fldCharType="end"/>
      </w:r>
    </w:p>
    <w:p>
      <w:pPr>
        <w:pStyle w:val="21"/>
        <w:tabs>
          <w:tab w:val="right" w:leader="dot" w:pos="8296"/>
        </w:tabs>
        <w:rPr>
          <w:rFonts w:ascii="仿宋" w:eastAsia="仿宋" w:cs="Arial"/>
          <w:sz w:val="28"/>
          <w:szCs w:val="28"/>
        </w:rPr>
      </w:pPr>
      <w:r>
        <w:fldChar w:fldCharType="begin"/>
      </w:r>
      <w:r>
        <w:instrText>Hyperlink \l "_Toc15396601"</w:instrText>
      </w:r>
      <w:r>
        <w:fldChar w:fldCharType="separate"/>
      </w:r>
      <w:r>
        <w:rPr>
          <w:rFonts w:ascii="仿宋" w:eastAsia="仿宋" w:hint="eastAsia"/>
          <w:sz w:val="28"/>
          <w:szCs w:val="28"/>
        </w:rPr>
        <w:t>二、机构设置</w:t>
      </w:r>
      <w:r>
        <w:rPr>
          <w:rFonts w:ascii="仿宋" w:eastAsia="仿宋"/>
          <w:sz w:val="28"/>
          <w:szCs w:val="28"/>
        </w:rPr>
        <w:tab/>
      </w:r>
      <w:r>
        <w:rPr>
          <w:rFonts w:ascii="仿宋" w:eastAsia="仿宋" w:hint="eastAsia"/>
          <w:sz w:val="28"/>
          <w:szCs w:val="28"/>
        </w:rPr>
        <w:t>5</w:t>
      </w:r>
      <w:r>
        <w:fldChar w:fldCharType="end"/>
      </w:r>
    </w:p>
    <w:p>
      <w:pPr>
        <w:pStyle w:val="20"/>
        <w:tabs>
          <w:tab w:val="right" w:leader="dot" w:pos="8296"/>
        </w:tabs>
      </w:pPr>
      <w:r>
        <w:fldChar w:fldCharType="begin"/>
      </w:r>
      <w:r>
        <w:instrText>Hyperlink \l "_Toc15396602"</w:instrText>
      </w:r>
      <w:r>
        <w:fldChar w:fldCharType="separate"/>
      </w:r>
      <w:r>
        <w:rPr>
          <w:rFonts w:hint="eastAsia"/>
        </w:rPr>
        <w:t>第二部分</w:t>
      </w:r>
      <w:r>
        <w:t xml:space="preserve"> 2018</w:t>
      </w:r>
      <w:r>
        <w:rPr>
          <w:rFonts w:hint="eastAsia"/>
        </w:rPr>
        <w:t>年度部门决算情况说明</w:t>
      </w:r>
      <w:r>
        <w:tab/>
      </w:r>
      <w:r>
        <w:rPr>
          <w:rFonts w:hint="eastAsia"/>
        </w:rPr>
        <w:t>6</w:t>
      </w:r>
      <w:r>
        <w:fldChar w:fldCharType="end"/>
      </w:r>
    </w:p>
    <w:p>
      <w:pPr>
        <w:pStyle w:val="21"/>
        <w:tabs>
          <w:tab w:val="right" w:leader="dot" w:pos="8296"/>
        </w:tabs>
        <w:rPr>
          <w:rFonts w:ascii="仿宋" w:eastAsia="仿宋" w:cs="Arial"/>
          <w:sz w:val="28"/>
          <w:szCs w:val="28"/>
        </w:rPr>
      </w:pPr>
      <w:r>
        <w:fldChar w:fldCharType="begin"/>
      </w:r>
      <w:r>
        <w:instrText>Hyperlink \l "_Toc15396603"</w:instrText>
      </w:r>
      <w:r>
        <w:fldChar w:fldCharType="separate"/>
      </w:r>
      <w:r>
        <w:rPr>
          <w:rFonts w:ascii="仿宋" w:eastAsia="仿宋" w:cs="Times New Roman" w:hint="eastAsia"/>
          <w:bCs/>
          <w:sz w:val="28"/>
          <w:szCs w:val="28"/>
        </w:rPr>
        <w:t>一、</w:t>
      </w:r>
      <w:r>
        <w:rPr>
          <w:rFonts w:ascii="仿宋" w:eastAsia="仿宋" w:hint="eastAsia"/>
          <w:sz w:val="28"/>
          <w:szCs w:val="28"/>
        </w:rPr>
        <w:t>收</w:t>
      </w:r>
      <w:r>
        <w:rPr>
          <w:rFonts w:ascii="仿宋" w:eastAsia="仿宋" w:cs="Times New Roman" w:hint="eastAsia"/>
          <w:bCs/>
          <w:sz w:val="28"/>
          <w:szCs w:val="28"/>
        </w:rPr>
        <w:t>入支出决算总体情况说明</w:t>
      </w:r>
      <w:r>
        <w:rPr>
          <w:rFonts w:ascii="仿宋" w:eastAsia="仿宋"/>
          <w:sz w:val="28"/>
          <w:szCs w:val="28"/>
        </w:rPr>
        <w:tab/>
      </w:r>
      <w:r>
        <w:rPr>
          <w:rFonts w:ascii="仿宋" w:eastAsia="仿宋" w:hint="eastAsia"/>
          <w:sz w:val="28"/>
          <w:szCs w:val="28"/>
        </w:rPr>
        <w:t>6</w:t>
      </w:r>
      <w:r>
        <w:fldChar w:fldCharType="end"/>
      </w:r>
    </w:p>
    <w:p>
      <w:pPr>
        <w:pStyle w:val="21"/>
        <w:tabs>
          <w:tab w:val="right" w:leader="dot" w:pos="8296"/>
        </w:tabs>
        <w:rPr>
          <w:rFonts w:ascii="仿宋" w:eastAsia="仿宋" w:cs="Arial"/>
          <w:sz w:val="28"/>
          <w:szCs w:val="28"/>
        </w:rPr>
      </w:pPr>
      <w:r>
        <w:fldChar w:fldCharType="begin"/>
      </w:r>
      <w:r>
        <w:instrText>Hyperlink \l "_Toc15396604"</w:instrText>
      </w:r>
      <w:r>
        <w:fldChar w:fldCharType="separate"/>
      </w:r>
      <w:r>
        <w:rPr>
          <w:rFonts w:ascii="仿宋" w:eastAsia="仿宋" w:cs="Times New Roman" w:hint="eastAsia"/>
          <w:bCs/>
          <w:sz w:val="28"/>
          <w:szCs w:val="28"/>
        </w:rPr>
        <w:t>二、</w:t>
      </w:r>
      <w:r>
        <w:rPr>
          <w:rFonts w:ascii="仿宋" w:eastAsia="仿宋" w:hint="eastAsia"/>
          <w:sz w:val="28"/>
          <w:szCs w:val="28"/>
        </w:rPr>
        <w:t>收</w:t>
      </w:r>
      <w:r>
        <w:rPr>
          <w:rFonts w:ascii="仿宋" w:eastAsia="仿宋" w:cs="Times New Roman" w:hint="eastAsia"/>
          <w:bCs/>
          <w:sz w:val="28"/>
          <w:szCs w:val="28"/>
        </w:rPr>
        <w:t>入决算情况说明</w:t>
      </w:r>
      <w:r>
        <w:rPr>
          <w:rFonts w:ascii="仿宋" w:eastAsia="仿宋"/>
          <w:sz w:val="28"/>
          <w:szCs w:val="28"/>
        </w:rPr>
        <w:tab/>
      </w:r>
      <w:r>
        <w:rPr>
          <w:rFonts w:ascii="仿宋" w:eastAsia="仿宋" w:hint="eastAsia"/>
          <w:sz w:val="28"/>
          <w:szCs w:val="28"/>
        </w:rPr>
        <w:t>6</w:t>
      </w:r>
      <w:r>
        <w:fldChar w:fldCharType="end"/>
      </w:r>
    </w:p>
    <w:p>
      <w:pPr>
        <w:pStyle w:val="21"/>
        <w:tabs>
          <w:tab w:val="right" w:leader="dot" w:pos="8296"/>
        </w:tabs>
        <w:rPr>
          <w:rFonts w:ascii="仿宋" w:eastAsia="仿宋" w:cs="Arial"/>
          <w:sz w:val="28"/>
          <w:szCs w:val="28"/>
        </w:rPr>
      </w:pPr>
      <w:r>
        <w:fldChar w:fldCharType="begin"/>
      </w:r>
      <w:r>
        <w:instrText>Hyperlink \l "_Toc15396605"</w:instrText>
      </w:r>
      <w:r>
        <w:fldChar w:fldCharType="separate"/>
      </w:r>
      <w:r>
        <w:rPr>
          <w:rFonts w:ascii="仿宋" w:eastAsia="仿宋" w:cs="Times New Roman" w:hint="eastAsia"/>
          <w:bCs/>
          <w:sz w:val="28"/>
          <w:szCs w:val="28"/>
        </w:rPr>
        <w:t>三、</w:t>
      </w:r>
      <w:r>
        <w:rPr>
          <w:rFonts w:ascii="仿宋" w:eastAsia="仿宋" w:hint="eastAsia"/>
          <w:sz w:val="28"/>
          <w:szCs w:val="28"/>
        </w:rPr>
        <w:t>支</w:t>
      </w:r>
      <w:r>
        <w:rPr>
          <w:rFonts w:ascii="仿宋" w:eastAsia="仿宋" w:cs="Times New Roman" w:hint="eastAsia"/>
          <w:bCs/>
          <w:sz w:val="28"/>
          <w:szCs w:val="28"/>
        </w:rPr>
        <w:t>出决算情况说明</w:t>
      </w:r>
      <w:r>
        <w:rPr>
          <w:rFonts w:ascii="仿宋" w:eastAsia="仿宋"/>
          <w:sz w:val="28"/>
          <w:szCs w:val="28"/>
        </w:rPr>
        <w:tab/>
      </w:r>
      <w:r>
        <w:rPr>
          <w:rFonts w:ascii="仿宋" w:eastAsia="仿宋" w:hint="eastAsia"/>
          <w:sz w:val="28"/>
          <w:szCs w:val="28"/>
        </w:rPr>
        <w:t>6</w:t>
      </w:r>
      <w:r>
        <w:fldChar w:fldCharType="end"/>
      </w:r>
    </w:p>
    <w:p>
      <w:pPr>
        <w:pStyle w:val="21"/>
        <w:tabs>
          <w:tab w:val="right" w:leader="dot" w:pos="8296"/>
        </w:tabs>
        <w:rPr>
          <w:rFonts w:ascii="仿宋" w:eastAsia="仿宋" w:cs="Arial"/>
          <w:sz w:val="28"/>
          <w:szCs w:val="28"/>
        </w:rPr>
      </w:pPr>
      <w:r>
        <w:fldChar w:fldCharType="begin"/>
      </w:r>
      <w:r>
        <w:instrText>Hyperlink \l "_Toc15396606"</w:instrText>
      </w:r>
      <w:r>
        <w:fldChar w:fldCharType="separate"/>
      </w:r>
      <w:r>
        <w:rPr>
          <w:rFonts w:ascii="仿宋" w:eastAsia="仿宋" w:hint="eastAsia"/>
          <w:sz w:val="28"/>
          <w:szCs w:val="28"/>
        </w:rPr>
        <w:t>四、财</w:t>
      </w:r>
      <w:r>
        <w:rPr>
          <w:rFonts w:ascii="仿宋" w:eastAsia="仿宋" w:cs="Times New Roman" w:hint="eastAsia"/>
          <w:bCs/>
          <w:sz w:val="28"/>
          <w:szCs w:val="28"/>
        </w:rPr>
        <w:t>政拨款收入支出决算总体情况说明</w:t>
      </w:r>
      <w:r>
        <w:rPr>
          <w:rFonts w:ascii="仿宋" w:eastAsia="仿宋"/>
          <w:sz w:val="28"/>
          <w:szCs w:val="28"/>
        </w:rPr>
        <w:tab/>
      </w:r>
      <w:r>
        <w:rPr>
          <w:rFonts w:ascii="仿宋" w:eastAsia="仿宋" w:hint="eastAsia"/>
          <w:sz w:val="28"/>
          <w:szCs w:val="28"/>
        </w:rPr>
        <w:t>6</w:t>
      </w:r>
      <w:r>
        <w:fldChar w:fldCharType="end"/>
      </w:r>
    </w:p>
    <w:p>
      <w:pPr>
        <w:pStyle w:val="21"/>
        <w:tabs>
          <w:tab w:val="right" w:leader="dot" w:pos="8296"/>
        </w:tabs>
        <w:rPr>
          <w:rFonts w:ascii="仿宋" w:eastAsia="仿宋" w:cs="Arial"/>
          <w:sz w:val="28"/>
          <w:szCs w:val="28"/>
        </w:rPr>
      </w:pPr>
      <w:r>
        <w:fldChar w:fldCharType="begin"/>
      </w:r>
      <w:r>
        <w:instrText>Hyperlink \l "_Toc15396607"</w:instrText>
      </w:r>
      <w:r>
        <w:fldChar w:fldCharType="separate"/>
      </w:r>
      <w:r>
        <w:rPr>
          <w:rFonts w:ascii="仿宋" w:eastAsia="仿宋" w:hint="eastAsia"/>
          <w:sz w:val="28"/>
          <w:szCs w:val="28"/>
        </w:rPr>
        <w:t>五、一</w:t>
      </w:r>
      <w:r>
        <w:rPr>
          <w:rFonts w:ascii="仿宋" w:eastAsia="仿宋" w:cs="Times New Roman" w:hint="eastAsia"/>
          <w:bCs/>
          <w:sz w:val="28"/>
          <w:szCs w:val="28"/>
        </w:rPr>
        <w:t>般公共预算财政拨款支出决算情况说明</w:t>
      </w:r>
      <w:r>
        <w:rPr>
          <w:rFonts w:ascii="仿宋" w:eastAsia="仿宋"/>
          <w:sz w:val="28"/>
          <w:szCs w:val="28"/>
        </w:rPr>
        <w:tab/>
      </w:r>
      <w:r>
        <w:rPr>
          <w:rFonts w:ascii="仿宋" w:eastAsia="仿宋" w:hint="eastAsia"/>
          <w:sz w:val="28"/>
          <w:szCs w:val="28"/>
        </w:rPr>
        <w:t>7</w:t>
      </w:r>
      <w:r>
        <w:fldChar w:fldCharType="end"/>
      </w:r>
    </w:p>
    <w:p>
      <w:pPr>
        <w:pStyle w:val="21"/>
        <w:tabs>
          <w:tab w:val="right" w:leader="dot" w:pos="8296"/>
        </w:tabs>
        <w:rPr>
          <w:rFonts w:ascii="仿宋" w:eastAsia="仿宋" w:cs="Arial"/>
          <w:sz w:val="28"/>
          <w:szCs w:val="28"/>
        </w:rPr>
      </w:pPr>
      <w:r>
        <w:fldChar w:fldCharType="begin"/>
      </w:r>
      <w:r>
        <w:instrText>Hyperlink \l "_Toc15396608"</w:instrText>
      </w:r>
      <w:r>
        <w:fldChar w:fldCharType="separate"/>
      </w:r>
      <w:r>
        <w:rPr>
          <w:rFonts w:ascii="仿宋" w:eastAsia="仿宋" w:hint="eastAsia"/>
          <w:sz w:val="28"/>
          <w:szCs w:val="28"/>
        </w:rPr>
        <w:t>六、一</w:t>
      </w:r>
      <w:r>
        <w:rPr>
          <w:rFonts w:ascii="仿宋" w:eastAsia="仿宋" w:cs="Times New Roman" w:hint="eastAsia"/>
          <w:bCs/>
          <w:sz w:val="28"/>
          <w:szCs w:val="28"/>
        </w:rPr>
        <w:t>般公共预算财政拨款基本支出决算情况说明</w:t>
      </w:r>
      <w:r>
        <w:rPr>
          <w:rFonts w:ascii="仿宋" w:eastAsia="仿宋"/>
          <w:sz w:val="28"/>
          <w:szCs w:val="28"/>
        </w:rPr>
        <w:tab/>
      </w:r>
      <w:r>
        <w:rPr>
          <w:rFonts w:ascii="仿宋" w:eastAsia="仿宋" w:hint="eastAsia"/>
          <w:sz w:val="28"/>
          <w:szCs w:val="28"/>
        </w:rPr>
        <w:t>11</w:t>
      </w:r>
      <w:r>
        <w:fldChar w:fldCharType="end"/>
      </w:r>
    </w:p>
    <w:p>
      <w:pPr>
        <w:pStyle w:val="21"/>
        <w:tabs>
          <w:tab w:val="right" w:leader="dot" w:pos="8296"/>
        </w:tabs>
        <w:rPr>
          <w:rFonts w:ascii="仿宋" w:eastAsia="仿宋" w:cs="Arial"/>
          <w:sz w:val="28"/>
          <w:szCs w:val="28"/>
        </w:rPr>
      </w:pPr>
      <w:r>
        <w:fldChar w:fldCharType="begin"/>
      </w:r>
      <w:r>
        <w:instrText>Hyperlink \l "_Toc15396609"</w:instrText>
      </w:r>
      <w:r>
        <w:fldChar w:fldCharType="separate"/>
      </w:r>
      <w:r>
        <w:rPr>
          <w:rFonts w:ascii="仿宋" w:eastAsia="仿宋" w:hint="eastAsia"/>
          <w:sz w:val="28"/>
          <w:szCs w:val="28"/>
        </w:rPr>
        <w:t>七、</w:t>
      </w:r>
      <w:r>
        <w:rPr>
          <w:rFonts w:ascii="仿宋" w:eastAsia="仿宋"/>
          <w:sz w:val="28"/>
          <w:szCs w:val="28"/>
        </w:rPr>
        <w:t>“</w:t>
      </w:r>
      <w:r>
        <w:rPr>
          <w:rFonts w:ascii="仿宋" w:eastAsia="仿宋" w:cs="Times New Roman" w:hint="eastAsia"/>
          <w:bCs/>
          <w:sz w:val="28"/>
          <w:szCs w:val="28"/>
        </w:rPr>
        <w:t>三公”经费财政拨款支出决算情况说明</w:t>
      </w:r>
      <w:r>
        <w:rPr>
          <w:rFonts w:ascii="仿宋" w:eastAsia="仿宋"/>
          <w:sz w:val="28"/>
          <w:szCs w:val="28"/>
        </w:rPr>
        <w:tab/>
      </w:r>
      <w:r>
        <w:rPr>
          <w:rFonts w:ascii="仿宋" w:eastAsia="仿宋" w:hint="eastAsia"/>
          <w:sz w:val="28"/>
          <w:szCs w:val="28"/>
        </w:rPr>
        <w:t>12</w:t>
      </w:r>
      <w:r>
        <w:fldChar w:fldCharType="end"/>
      </w:r>
    </w:p>
    <w:p>
      <w:pPr>
        <w:pStyle w:val="21"/>
        <w:tabs>
          <w:tab w:val="right" w:leader="dot" w:pos="8296"/>
        </w:tabs>
        <w:rPr>
          <w:rFonts w:ascii="仿宋" w:eastAsia="仿宋" w:cs="Arial"/>
          <w:sz w:val="28"/>
          <w:szCs w:val="28"/>
        </w:rPr>
      </w:pPr>
      <w:r>
        <w:fldChar w:fldCharType="begin"/>
      </w:r>
      <w:r>
        <w:instrText>Hyperlink \l "_Toc15396610"</w:instrText>
      </w:r>
      <w:r>
        <w:fldChar w:fldCharType="separate"/>
      </w:r>
      <w:r>
        <w:rPr>
          <w:rFonts w:ascii="仿宋" w:eastAsia="仿宋" w:hint="eastAsia"/>
          <w:sz w:val="28"/>
          <w:szCs w:val="28"/>
        </w:rPr>
        <w:t>八、</w:t>
      </w:r>
      <w:r>
        <w:rPr>
          <w:rFonts w:ascii="仿宋" w:eastAsia="仿宋" w:cs="Times New Roman" w:hint="eastAsia"/>
          <w:bCs/>
          <w:sz w:val="28"/>
          <w:szCs w:val="28"/>
        </w:rPr>
        <w:t>政府性基金预算支出决算情况说明</w:t>
      </w:r>
      <w:r>
        <w:rPr>
          <w:rFonts w:ascii="仿宋" w:eastAsia="仿宋"/>
          <w:sz w:val="28"/>
          <w:szCs w:val="28"/>
        </w:rPr>
        <w:tab/>
      </w:r>
      <w:r>
        <w:rPr>
          <w:rFonts w:ascii="仿宋" w:eastAsia="仿宋" w:hint="eastAsia"/>
          <w:sz w:val="28"/>
          <w:szCs w:val="28"/>
        </w:rPr>
        <w:t>13</w:t>
      </w:r>
      <w:r>
        <w:fldChar w:fldCharType="end"/>
      </w:r>
    </w:p>
    <w:p>
      <w:pPr>
        <w:pStyle w:val="21"/>
        <w:tabs>
          <w:tab w:val="right" w:leader="dot" w:pos="8296"/>
        </w:tabs>
        <w:rPr>
          <w:rFonts w:ascii="仿宋" w:eastAsia="仿宋" w:cs="Arial"/>
          <w:sz w:val="28"/>
          <w:szCs w:val="28"/>
        </w:rPr>
      </w:pPr>
      <w:r>
        <w:fldChar w:fldCharType="begin"/>
      </w:r>
      <w:r>
        <w:instrText>Hyperlink \l "_Toc15396611"</w:instrText>
      </w:r>
      <w:r>
        <w:fldChar w:fldCharType="separate"/>
      </w:r>
      <w:r>
        <w:rPr>
          <w:rFonts w:ascii="仿宋" w:eastAsia="仿宋" w:cs="Times New Roman" w:hint="eastAsia"/>
          <w:bCs/>
          <w:sz w:val="28"/>
          <w:szCs w:val="28"/>
        </w:rPr>
        <w:t>九、</w:t>
      </w:r>
      <w:r>
        <w:rPr>
          <w:rFonts w:ascii="仿宋" w:eastAsia="仿宋" w:hint="eastAsia"/>
          <w:sz w:val="28"/>
          <w:szCs w:val="28"/>
        </w:rPr>
        <w:t xml:space="preserve"> 国</w:t>
      </w:r>
      <w:r>
        <w:rPr>
          <w:rFonts w:ascii="仿宋" w:eastAsia="仿宋" w:cs="Times New Roman" w:hint="eastAsia"/>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w:t>
      </w:r>
      <w:r>
        <w:rPr>
          <w:rFonts w:ascii="仿宋" w:eastAsia="仿宋" w:hint="eastAsia"/>
          <w:sz w:val="28"/>
          <w:szCs w:val="28"/>
        </w:rPr>
        <w:t>3</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"_Toc15396612"</w:instrText>
      </w:r>
      <w:r>
        <w:fldChar w:fldCharType="separate"/>
      </w:r>
      <w:r>
        <w:rPr>
          <w:rFonts w:ascii="仿宋" w:eastAsia="仿宋" w:hint="eastAsia"/>
          <w:sz w:val="28"/>
          <w:szCs w:val="28"/>
        </w:rPr>
        <w:t>十</w:t>
      </w:r>
      <w:r>
        <w:rPr>
          <w:rFonts w:ascii="仿宋" w:eastAsia="仿宋" w:cs="Times New Roman" w:hint="eastAsia"/>
          <w:bCs/>
          <w:sz w:val="28"/>
          <w:szCs w:val="28"/>
        </w:rPr>
        <w:t>、预算绩效说明</w:t>
      </w:r>
      <w:r>
        <w:rPr>
          <w:rFonts w:ascii="仿宋" w:eastAsia="仿宋"/>
          <w:sz w:val="28"/>
          <w:szCs w:val="28"/>
        </w:rPr>
        <w:tab/>
      </w:r>
      <w:r>
        <w:rPr>
          <w:rFonts w:ascii="仿宋" w:eastAsia="仿宋" w:hint="eastAsia"/>
          <w:sz w:val="28"/>
          <w:szCs w:val="28"/>
        </w:rPr>
        <w:t>13</w:t>
      </w:r>
      <w:r>
        <w:fldChar w:fldCharType="end"/>
      </w:r>
    </w:p>
    <w:p>
      <w:pPr>
        <w:pStyle w:val="20"/>
        <w:tabs>
          <w:tab w:val="right" w:leader="dot" w:pos="8296"/>
        </w:tabs>
      </w:pPr>
      <w:r>
        <w:rPr>
          <w:rFonts w:hint="eastAsia"/>
        </w:rPr>
        <w:t>十、其他重要事项说明</w:t>
      </w:r>
      <w:r>
        <w:tab/>
      </w:r>
      <w:r>
        <w:rPr>
          <w:rFonts w:hint="eastAsia"/>
        </w:rPr>
        <w:t>23</w:t>
      </w:r>
    </w:p>
    <w:p>
      <w:pPr>
        <w:pStyle w:val="20"/>
        <w:tabs>
          <w:tab w:val="right" w:leader="dot" w:pos="8296"/>
        </w:tabs>
        <w:rPr>
          <w:rFonts w:cs="Arial"/>
        </w:rPr>
      </w:pPr>
      <w:r>
        <w:fldChar w:fldCharType="begin"/>
      </w:r>
      <w:r>
        <w:instrText>Hyperlink \l "_Toc15396613"</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rPr>
        <w:t>25</w:t>
      </w:r>
      <w:r>
        <w:fldChar w:fldCharType="end"/>
      </w:r>
    </w:p>
    <w:p>
      <w:pPr>
        <w:pStyle w:val="20"/>
        <w:tabs>
          <w:tab w:val="right" w:leader="dot" w:pos="8296"/>
        </w:tabs>
        <w:rPr>
          <w:rFonts w:cs="Arial"/>
        </w:rPr>
      </w:pPr>
      <w:r>
        <w:fldChar w:fldCharType="begin"/>
      </w:r>
      <w:r>
        <w:instrText>Hyperlink \l "_Toc15396614"</w:instrText>
      </w:r>
      <w:r>
        <w:fldChar w:fldCharType="separate"/>
      </w:r>
      <w:r>
        <w:rPr>
          <w:rFonts w:hint="eastAsia"/>
        </w:rPr>
        <w:t>第</w:t>
      </w:r>
      <w:r>
        <w:rPr>
          <w:rFonts w:hint="eastAsia"/>
          <w:bCs/>
          <w:kern w:val="44"/>
        </w:rPr>
        <w:t>四部分附件</w:t>
      </w:r>
      <w:r>
        <w:tab/>
      </w:r>
      <w:r>
        <w:rPr>
          <w:rFonts w:hint="eastAsia"/>
        </w:rPr>
        <w:t>30</w:t>
      </w:r>
      <w:r>
        <w:fldChar w:fldCharType="end"/>
      </w:r>
    </w:p>
    <w:p>
      <w:pPr>
        <w:pStyle w:val="21"/>
        <w:tabs>
          <w:tab w:val="right" w:leader="dot" w:pos="8296"/>
        </w:tabs>
        <w:rPr>
          <w:rFonts w:ascii="仿宋" w:eastAsia="仿宋" w:cs="Arial"/>
          <w:sz w:val="28"/>
          <w:szCs w:val="28"/>
        </w:rPr>
      </w:pPr>
      <w:r>
        <w:fldChar w:fldCharType="begin"/>
      </w:r>
      <w:r>
        <w:instrText>Hyperlink \l "_Toc15396615"</w:instrText>
      </w:r>
      <w:r>
        <w:fldChar w:fldCharType="separate"/>
      </w:r>
      <w:r>
        <w:rPr>
          <w:rFonts w:ascii="仿宋" w:eastAsia="仿宋" w:hint="eastAsia"/>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hint="eastAsia"/>
          <w:sz w:val="28"/>
          <w:szCs w:val="28"/>
        </w:rPr>
        <w:t>30</w:t>
      </w:r>
      <w:r>
        <w:fldChar w:fldCharType="end"/>
      </w:r>
    </w:p>
    <w:p>
      <w:pPr>
        <w:pStyle w:val="21"/>
        <w:tabs>
          <w:tab w:val="right" w:leader="dot" w:pos="8296"/>
        </w:tabs>
        <w:rPr>
          <w:rFonts w:ascii="仿宋" w:eastAsia="仿宋" w:cs="Arial"/>
          <w:sz w:val="28"/>
          <w:szCs w:val="28"/>
        </w:rPr>
      </w:pPr>
      <w:r>
        <w:fldChar w:fldCharType="begin"/>
      </w:r>
      <w:r>
        <w:instrText>Hyperlink \l "_Toc15396617"</w:instrText>
      </w:r>
      <w:r>
        <w:fldChar w:fldCharType="separate"/>
      </w:r>
      <w:r>
        <w:rPr>
          <w:rFonts w:ascii="仿宋" w:eastAsia="仿宋" w:hint="eastAsia"/>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hint="eastAsia"/>
          <w:sz w:val="28"/>
          <w:szCs w:val="28"/>
        </w:rPr>
        <w:t>34</w:t>
      </w:r>
      <w:r>
        <w:fldChar w:fldCharType="end"/>
      </w:r>
    </w:p>
    <w:p>
      <w:pPr>
        <w:pStyle w:val="20"/>
        <w:tabs>
          <w:tab w:val="right" w:leader="dot" w:pos="8296"/>
        </w:tabs>
        <w:rPr>
          <w:rFonts w:cs="Arial"/>
        </w:rPr>
      </w:pPr>
      <w:r>
        <w:fldChar w:fldCharType="begin"/>
      </w:r>
      <w:r>
        <w:instrText>Hyperlink \l "_Toc15396618"</w:instrText>
      </w:r>
      <w:r>
        <w:fldChar w:fldCharType="separate"/>
      </w:r>
      <w:r>
        <w:rPr>
          <w:rFonts w:hint="eastAsia"/>
        </w:rPr>
        <w:t>第</w:t>
      </w:r>
      <w:r>
        <w:rPr>
          <w:rFonts w:hint="eastAsia"/>
          <w:bCs/>
          <w:kern w:val="44"/>
        </w:rPr>
        <w:t>五部分附表</w:t>
      </w:r>
      <w:r>
        <w:tab/>
      </w:r>
      <w:r>
        <w:rPr>
          <w:rFonts w:hint="eastAsia"/>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一、</w:t>
      </w:r>
      <w:r>
        <w:fldChar w:fldCharType="begin"/>
      </w:r>
      <w:r>
        <w:instrText>Hyperlink \l "_Toc15396619"</w:instrText>
      </w:r>
      <w:r>
        <w:fldChar w:fldCharType="separate"/>
      </w:r>
      <w:r>
        <w:rPr>
          <w:rFonts w:ascii="仿宋" w:eastAsia="仿宋" w:hint="eastAsia"/>
          <w:sz w:val="28"/>
          <w:szCs w:val="28"/>
        </w:rPr>
        <w:t>收入支出决算总表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二、</w:t>
      </w:r>
      <w:r>
        <w:fldChar w:fldCharType="begin"/>
      </w:r>
      <w:r>
        <w:instrText>Hyperlink \l "_Toc15396620"</w:instrText>
      </w:r>
      <w:r>
        <w:fldChar w:fldCharType="separate"/>
      </w:r>
      <w:r>
        <w:rPr>
          <w:rFonts w:ascii="仿宋" w:eastAsia="仿宋" w:hint="eastAsia"/>
          <w:sz w:val="28"/>
          <w:szCs w:val="28"/>
        </w:rPr>
        <w:t>收入总表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三、</w:t>
      </w:r>
      <w:r>
        <w:fldChar w:fldCharType="begin"/>
      </w:r>
      <w:r>
        <w:instrText>Hyperlink \l "_Toc15396621"</w:instrText>
      </w:r>
      <w:r>
        <w:fldChar w:fldCharType="separate"/>
      </w:r>
      <w:r>
        <w:rPr>
          <w:rFonts w:ascii="仿宋" w:eastAsia="仿宋" w:hint="eastAsia"/>
          <w:sz w:val="28"/>
          <w:szCs w:val="28"/>
        </w:rPr>
        <w:t>支出总表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四、</w:t>
      </w:r>
      <w:r>
        <w:fldChar w:fldCharType="begin"/>
      </w:r>
      <w:r>
        <w:instrText>Hyperlink \l "_Toc15396622"</w:instrText>
      </w:r>
      <w:r>
        <w:fldChar w:fldCharType="separate"/>
      </w:r>
      <w:r>
        <w:rPr>
          <w:rFonts w:ascii="仿宋" w:eastAsia="仿宋" w:hint="eastAsia"/>
          <w:sz w:val="28"/>
          <w:szCs w:val="28"/>
        </w:rPr>
        <w:t>财政拨款收入支出决算总表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sz w:val="28"/>
          <w:szCs w:val="28"/>
        </w:rPr>
      </w:pPr>
      <w:r>
        <w:rPr>
          <w:rFonts w:ascii="仿宋" w:eastAsia="仿宋" w:hint="eastAsia"/>
          <w:sz w:val="28"/>
          <w:szCs w:val="28"/>
        </w:rPr>
        <w:t>五、</w:t>
      </w:r>
      <w:r>
        <w:fldChar w:fldCharType="begin"/>
      </w:r>
      <w:r>
        <w:instrText>Hyperlink \l "_Toc15396623"</w:instrText>
      </w:r>
      <w:r>
        <w:fldChar w:fldCharType="separate"/>
      </w:r>
      <w:r>
        <w:rPr>
          <w:rFonts w:ascii="仿宋" w:eastAsia="仿宋" w:hint="eastAsia"/>
          <w:sz w:val="28"/>
          <w:szCs w:val="28"/>
        </w:rPr>
        <w:t>财政拨款支出决算明细表（政府经济分类科目）</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六、</w:t>
      </w:r>
      <w:r>
        <w:fldChar w:fldCharType="begin"/>
      </w:r>
      <w:r>
        <w:instrText>Hyperlink \l "_Toc15396624"</w:instrText>
      </w:r>
      <w:r>
        <w:fldChar w:fldCharType="separate"/>
      </w:r>
      <w:r>
        <w:rPr>
          <w:rFonts w:ascii="仿宋" w:eastAsia="仿宋" w:hint="eastAsia"/>
          <w:sz w:val="28"/>
          <w:szCs w:val="28"/>
        </w:rPr>
        <w:t>一般公共预算财政拨款支出决算表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七、</w:t>
      </w:r>
      <w:r>
        <w:fldChar w:fldCharType="begin"/>
      </w:r>
      <w:r>
        <w:instrText>Hyperlink \l "_Toc15396625"</w:instrText>
      </w:r>
      <w:r>
        <w:fldChar w:fldCharType="separate"/>
      </w:r>
      <w:r>
        <w:rPr>
          <w:rFonts w:ascii="仿宋" w:eastAsia="仿宋" w:hint="eastAsia"/>
          <w:sz w:val="28"/>
          <w:szCs w:val="28"/>
        </w:rPr>
        <w:t>一般公共预算财政拨款支出决算明细表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八、</w:t>
      </w:r>
      <w:r>
        <w:fldChar w:fldCharType="begin"/>
      </w:r>
      <w:r>
        <w:instrText>Hyperlink \l "_Toc15396626"</w:instrText>
      </w:r>
      <w:r>
        <w:fldChar w:fldCharType="separate"/>
      </w:r>
      <w:r>
        <w:rPr>
          <w:rFonts w:ascii="仿宋" w:eastAsia="仿宋" w:hint="eastAsia"/>
          <w:sz w:val="28"/>
          <w:szCs w:val="28"/>
        </w:rPr>
        <w:t>一般公共预算财政拨款基本支出决算表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九、</w:t>
      </w:r>
      <w:r>
        <w:fldChar w:fldCharType="begin"/>
      </w:r>
      <w:r>
        <w:instrText>Hyperlink \l "_Toc15396627"</w:instrText>
      </w:r>
      <w:r>
        <w:fldChar w:fldCharType="separate"/>
      </w:r>
      <w:r>
        <w:rPr>
          <w:rFonts w:ascii="仿宋" w:eastAsia="仿宋" w:hint="eastAsia"/>
          <w:sz w:val="28"/>
          <w:szCs w:val="28"/>
        </w:rPr>
        <w:t>一般公共预算财政拨款项目支出决算表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w:t>
      </w:r>
      <w:r>
        <w:fldChar w:fldCharType="begin"/>
      </w:r>
      <w:r>
        <w:instrText>Hyperlink \l "_Toc15396628"</w:instrText>
      </w:r>
      <w:r>
        <w:fldChar w:fldCharType="separate"/>
      </w:r>
      <w:r>
        <w:rPr>
          <w:rFonts w:ascii="仿宋" w:eastAsia="仿宋" w:hint="eastAsia"/>
          <w:sz w:val="28"/>
          <w:szCs w:val="28"/>
        </w:rPr>
        <w:t>一般公共预算财政拨款“三公”经费支出决算表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十一、</w:t>
      </w:r>
      <w:r>
        <w:fldChar w:fldCharType="begin"/>
      </w:r>
      <w:r>
        <w:instrText>Hyperlink \l "_Toc15396629"</w:instrText>
      </w:r>
      <w:r>
        <w:fldChar w:fldCharType="separate"/>
      </w:r>
      <w:r>
        <w:rPr>
          <w:rFonts w:ascii="仿宋" w:eastAsia="仿宋" w:hint="eastAsia"/>
          <w:sz w:val="28"/>
          <w:szCs w:val="28"/>
        </w:rPr>
        <w:t>政府性基金预算财政拨款收入支出决算表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十二、</w:t>
      </w:r>
      <w:r>
        <w:fldChar w:fldCharType="begin"/>
      </w:r>
      <w:r>
        <w:instrText>Hyperlink \l "_Toc15396630"</w:instrText>
      </w:r>
      <w:r>
        <w:fldChar w:fldCharType="separate"/>
      </w:r>
      <w:r>
        <w:rPr>
          <w:rFonts w:ascii="仿宋" w:eastAsia="仿宋" w:hint="eastAsia"/>
          <w:sz w:val="28"/>
          <w:szCs w:val="28"/>
        </w:rPr>
        <w:t>政府性基金预算财政拨款“三公”经费支出决算表</w:t>
      </w:r>
      <w:r>
        <w:rPr>
          <w:rFonts w:ascii="仿宋" w:eastAsia="仿宋"/>
          <w:sz w:val="28"/>
          <w:szCs w:val="28"/>
        </w:rPr>
        <w:tab/>
      </w:r>
      <w:r>
        <w:rPr>
          <w:rFonts w:ascii="仿宋" w:eastAsia="仿宋" w:hint="eastAsia"/>
          <w:sz w:val="28"/>
          <w:szCs w:val="28"/>
        </w:rPr>
        <w:t>37</w:t>
      </w:r>
      <w:r>
        <w:fldChar w:fldCharType="end"/>
      </w:r>
    </w:p>
    <w:p>
      <w:pPr>
        <w:pStyle w:val="21"/>
        <w:tabs>
          <w:tab w:val="right" w:leader="dot" w:pos="8296"/>
        </w:tabs>
        <w:rPr>
          <w:rFonts w:ascii="仿宋" w:eastAsia="仿宋" w:cs="Arial"/>
          <w:sz w:val="24"/>
        </w:rPr>
      </w:pPr>
      <w:r>
        <w:rPr>
          <w:rFonts w:ascii="仿宋" w:eastAsia="仿宋" w:hint="eastAsia"/>
          <w:sz w:val="28"/>
          <w:szCs w:val="28"/>
        </w:rPr>
        <w:t>十三、</w:t>
      </w:r>
      <w:r>
        <w:fldChar w:fldCharType="begin"/>
      </w:r>
      <w:r>
        <w:instrText>Hyperlink \l "_Toc15396631"</w:instrText>
      </w:r>
      <w:r>
        <w:fldChar w:fldCharType="separate"/>
      </w:r>
      <w:r>
        <w:rPr>
          <w:rFonts w:ascii="仿宋" w:eastAsia="仿宋" w:hint="eastAsia"/>
          <w:sz w:val="28"/>
          <w:szCs w:val="28"/>
        </w:rPr>
        <w:t>国有资本经营预算支出决算表</w:t>
      </w:r>
      <w:r>
        <w:rPr>
          <w:rFonts w:ascii="仿宋" w:eastAsia="仿宋"/>
          <w:sz w:val="28"/>
          <w:szCs w:val="28"/>
        </w:rPr>
        <w:tab/>
      </w:r>
      <w:r>
        <w:rPr>
          <w:rFonts w:ascii="仿宋" w:eastAsia="仿宋" w:hint="eastAsia"/>
          <w:sz w:val="28"/>
          <w:szCs w:val="28"/>
        </w:rPr>
        <w:t>37</w:t>
      </w:r>
      <w: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黑体" w:eastAsia="黑体"/>
          <w:bCs/>
          <w:kern w:val="44"/>
          <w:sz w:val="44"/>
          <w:szCs w:val="44"/>
        </w:rPr>
      </w:pPr>
      <w:bookmarkStart w:id="13" w:name="_Toc15377196"/>
      <w:bookmarkStart w:id="14" w:name="_Toc15396599"/>
      <w:r>
        <w:rPr>
          <w:rFonts w:ascii="黑体" w:eastAsia="黑体"/>
          <w:b/>
        </w:rPr>
        <w:br w:type="page"/>
      </w:r>
    </w:p>
    <w:p>
      <w:pPr>
        <w:pStyle w:val="1"/>
        <w:jc w:val="center"/>
        <w:rPr>
          <w:rStyle w:val="1Char"/>
          <w:rFonts w:ascii="黑体" w:eastAsia="黑体"/>
          <w:b/>
        </w:rPr>
      </w:pPr>
      <w:r>
        <w:rPr>
          <w:rFonts w:ascii="黑体" w:eastAsia="黑体" w:hint="eastAsia"/>
          <w:b w:val="0"/>
        </w:rPr>
        <w:t xml:space="preserve">第一部分 </w:t>
      </w:r>
      <w:r>
        <w:rPr>
          <w:rStyle w:val="1Char"/>
          <w:rFonts w:ascii="黑体" w:eastAsia="黑体" w:hint="eastAsia"/>
        </w:rPr>
        <w:t>部门概况</w:t>
      </w:r>
      <w:bookmarkEnd w:id="13"/>
      <w:bookmarkEnd w:id="14"/>
    </w:p>
    <w:p>
      <w:pPr>
        <w:widowControl/>
        <w:jc w:val="left"/>
        <w:rPr>
          <w:rFonts w:ascii="黑体" w:eastAsia="黑体"/>
          <w:color w:val="000000"/>
          <w:sz w:val="32"/>
          <w:szCs w:val="32"/>
        </w:rPr>
      </w:pPr>
    </w:p>
    <w:p>
      <w:pPr>
        <w:pStyle w:val="2"/>
        <w:ind w:firstLineChars="200" w:firstLine="640"/>
        <w:rPr>
          <w:rStyle w:val="2Char"/>
          <w:rFonts w:ascii="仿宋" w:eastAsia="仿宋"/>
          <w:color w:val="000000"/>
        </w:rPr>
      </w:pPr>
      <w:bookmarkStart w:id="15" w:name="_Toc15377197"/>
      <w:bookmarkStart w:id="16" w:name="_Toc15396600"/>
      <w:r>
        <w:rPr>
          <w:rFonts w:ascii="黑体" w:eastAsia="黑体" w:hint="eastAsia"/>
          <w:b w:val="0"/>
          <w:color w:val="000000"/>
        </w:rPr>
        <w:t>一、基</w:t>
      </w:r>
      <w:r>
        <w:rPr>
          <w:rStyle w:val="2Char"/>
          <w:rFonts w:ascii="黑体" w:eastAsia="黑体" w:hint="eastAsia"/>
          <w:color w:val="000000"/>
        </w:rPr>
        <w:t>本职能及主要工作</w:t>
      </w:r>
      <w:bookmarkEnd w:id="15"/>
      <w:bookmarkEnd w:id="16"/>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bookmarkStart w:id="17" w:name="_Toc15378445"/>
      <w:bookmarkStart w:id="18" w:name="_Toc15377198"/>
      <w:r>
        <w:rPr>
          <w:rFonts w:ascii="仿宋" w:eastAsia="仿宋" w:hint="eastAsia"/>
          <w:bCs/>
          <w:color w:val="000000"/>
          <w:sz w:val="32"/>
          <w:szCs w:val="32"/>
        </w:rPr>
        <w:t>（一）主要职能。</w:t>
      </w:r>
      <w:bookmarkEnd w:id="17"/>
      <w:bookmarkEnd w:id="18"/>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r>
        <w:rPr>
          <w:rFonts w:ascii="仿宋" w:eastAsia="仿宋"/>
          <w:bCs/>
          <w:color w:val="000000"/>
          <w:sz w:val="32"/>
          <w:szCs w:val="32"/>
        </w:rPr>
        <w:t>1、制定和组织实施经济、科技和社会发展计划，制定资源开发技术改造和产业结构调整方案，组织指导好农业生产，搞好商品流通，协调好本乡与外地区的经济交流与合作，抓好招商引资，人才引进项目开发，不断培育市场体系，组织经济运行，促进经济发展。</w:t>
      </w:r>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r>
        <w:rPr>
          <w:rFonts w:ascii="仿宋" w:eastAsia="仿宋"/>
          <w:bCs/>
          <w:color w:val="000000"/>
          <w:sz w:val="32"/>
          <w:szCs w:val="32"/>
        </w:rPr>
        <w:t>2、制定并组织实施村镇建设规划，部署重点工程建设，地方道路建设及公共设施，水利设施的管理，负责土地、林木、水等自然资源和生态环境的保护，做好护林防火工作。</w:t>
      </w:r>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r>
        <w:rPr>
          <w:rFonts w:ascii="仿宋" w:eastAsia="仿宋"/>
          <w:bCs/>
          <w:color w:val="000000"/>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r>
        <w:rPr>
          <w:rFonts w:ascii="仿宋" w:eastAsia="仿宋"/>
          <w:bCs/>
          <w:color w:val="000000"/>
          <w:sz w:val="32"/>
          <w:szCs w:val="32"/>
        </w:rPr>
        <w:t>4、按计划组织本级财政收入和地方税的征收，完成国家财政计划，不断培植税源，管好财政资金，增强财政实力。</w:t>
      </w:r>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r>
        <w:rPr>
          <w:rFonts w:ascii="仿宋" w:eastAsia="仿宋"/>
          <w:bCs/>
          <w:color w:val="000000"/>
          <w:sz w:val="32"/>
          <w:szCs w:val="32"/>
        </w:rPr>
        <w:t>5、抓好精神文明建设，丰富群众文化生活，提倡移风易俗，反对封建迷信，破除陈规陋习，树立社会主义新风尚。</w:t>
      </w:r>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r>
        <w:rPr>
          <w:rFonts w:ascii="仿宋" w:eastAsia="仿宋"/>
          <w:bCs/>
          <w:color w:val="000000"/>
          <w:sz w:val="32"/>
          <w:szCs w:val="32"/>
        </w:rPr>
        <w:t>6、完成上级政府交办的其它事项。</w:t>
      </w:r>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bookmarkStart w:id="19" w:name="_Toc15378446"/>
      <w:bookmarkStart w:id="20" w:name="_Toc15377199"/>
      <w:r>
        <w:rPr>
          <w:rFonts w:ascii="仿宋" w:eastAsia="仿宋" w:hint="eastAsia"/>
          <w:bCs/>
          <w:color w:val="000000"/>
          <w:sz w:val="32"/>
          <w:szCs w:val="32"/>
        </w:rPr>
        <w:t>（二）</w:t>
      </w:r>
      <w:r>
        <w:rPr>
          <w:rFonts w:ascii="仿宋" w:eastAsia="仿宋"/>
          <w:bCs/>
          <w:color w:val="000000"/>
          <w:sz w:val="32"/>
          <w:szCs w:val="32"/>
        </w:rPr>
        <w:t>201</w:t>
      </w:r>
      <w:r>
        <w:rPr>
          <w:rFonts w:ascii="仿宋" w:eastAsia="仿宋" w:hint="eastAsia"/>
          <w:bCs/>
          <w:color w:val="000000"/>
          <w:sz w:val="32"/>
          <w:szCs w:val="32"/>
        </w:rPr>
        <w:t>8年重点工作完成情况。</w:t>
      </w:r>
      <w:bookmarkEnd w:id="19"/>
      <w:bookmarkEnd w:id="20"/>
    </w:p>
    <w:p>
      <w:pPr>
        <w:numPr>
          <w:ilvl w:val="0"/>
          <w:numId w:val="1"/>
        </w:numPr>
        <w:adjustRightInd w:val="0"/>
        <w:snapToGrid w:val="0"/>
        <w:textAlignment w:val="center"/>
        <w:rPr>
          <w:rFonts w:eastAsia="方正仿宋_GBK"/>
          <w:color w:val="000000"/>
          <w:sz w:val="30"/>
          <w:szCs w:val="28"/>
        </w:rPr>
      </w:pPr>
      <w:r>
        <w:rPr>
          <w:rFonts w:eastAsia="方正仿宋_GBK"/>
          <w:color w:val="000000"/>
          <w:sz w:val="30"/>
          <w:szCs w:val="28"/>
        </w:rPr>
        <w:t>重点特色工作名称：城乡土地增减挂钩项目工作　　</w:t>
      </w:r>
    </w:p>
    <w:p>
      <w:pPr>
        <w:adjustRightInd w:val="0"/>
        <w:snapToGrid w:val="0"/>
        <w:textAlignment w:val="center"/>
        <w:rPr>
          <w:rFonts w:eastAsia="方正仿宋_GBK"/>
          <w:color w:val="000000"/>
          <w:sz w:val="30"/>
        </w:rPr>
      </w:pPr>
      <w:r>
        <w:rPr>
          <w:rFonts w:eastAsia="方正仿宋_GBK"/>
          <w:color w:val="000000"/>
          <w:sz w:val="30"/>
        </w:rPr>
        <w:t>　　4月前完成宣传发动工作；6月前完成调查摸底规划设计；10月底前达到验收标准</w:t>
      </w:r>
    </w:p>
    <w:p>
      <w:pPr>
        <w:adjustRightInd w:val="0"/>
        <w:snapToGrid w:val="0"/>
        <w:textAlignment w:val="center"/>
        <w:rPr>
          <w:rFonts w:eastAsia="方正仿宋_GBK"/>
          <w:color w:val="000000"/>
          <w:sz w:val="30"/>
          <w:szCs w:val="28"/>
        </w:rPr>
      </w:pPr>
      <w:r>
        <w:rPr>
          <w:rFonts w:eastAsia="方正仿宋_GBK" w:hint="eastAsia"/>
          <w:color w:val="000000"/>
          <w:sz w:val="30"/>
        </w:rPr>
        <w:t>2</w:t>
      </w:r>
      <w:r>
        <w:rPr>
          <w:rFonts w:eastAsia="方正仿宋_GBK"/>
          <w:color w:val="000000"/>
          <w:sz w:val="30"/>
        </w:rPr>
        <w:t>．</w:t>
      </w:r>
      <w:r>
        <w:rPr>
          <w:rFonts w:eastAsia="方正仿宋_GBK"/>
          <w:color w:val="000000"/>
          <w:sz w:val="30"/>
          <w:szCs w:val="28"/>
        </w:rPr>
        <w:t>重点特色工作名称：农村危房（土坯房）改造工作</w:t>
      </w:r>
    </w:p>
    <w:p>
      <w:pPr>
        <w:adjustRightInd w:val="0"/>
        <w:snapToGrid w:val="0"/>
        <w:textAlignment w:val="center"/>
        <w:rPr>
          <w:rFonts w:eastAsia="方正仿宋_GBK"/>
          <w:sz w:val="30"/>
          <w:szCs w:val="44"/>
        </w:rPr>
      </w:pPr>
      <w:r>
        <w:rPr>
          <w:rFonts w:eastAsia="方正仿宋_GBK"/>
          <w:color w:val="000000"/>
          <w:sz w:val="30"/>
        </w:rPr>
        <w:t>　　4月前完成宣传发动工作；6月前完成评议调查；</w:t>
      </w:r>
      <w:r>
        <w:rPr>
          <w:rFonts w:eastAsia="方正仿宋_GBK" w:hint="eastAsia"/>
          <w:color w:val="000000"/>
          <w:sz w:val="30"/>
        </w:rPr>
        <w:t>8</w:t>
      </w:r>
      <w:r>
        <w:rPr>
          <w:rFonts w:eastAsia="方正仿宋_GBK"/>
          <w:color w:val="000000"/>
          <w:sz w:val="30"/>
        </w:rPr>
        <w:t>月底前达到验收标准</w:t>
      </w:r>
    </w:p>
    <w:p>
      <w:pPr>
        <w:adjustRightInd w:val="0"/>
        <w:snapToGrid w:val="0"/>
        <w:textAlignment w:val="center"/>
        <w:rPr>
          <w:rFonts w:eastAsia="方正仿宋_GBK"/>
          <w:color w:val="000000"/>
          <w:sz w:val="30"/>
          <w:szCs w:val="28"/>
        </w:rPr>
      </w:pPr>
      <w:r>
        <w:rPr>
          <w:rFonts w:eastAsia="方正仿宋_GBK" w:hint="eastAsia"/>
          <w:color w:val="000000"/>
          <w:sz w:val="30"/>
        </w:rPr>
        <w:t>3</w:t>
      </w:r>
      <w:r>
        <w:rPr>
          <w:rFonts w:eastAsia="方正仿宋_GBK"/>
          <w:color w:val="000000"/>
          <w:sz w:val="30"/>
        </w:rPr>
        <w:t>．</w:t>
      </w:r>
      <w:r>
        <w:rPr>
          <w:rFonts w:eastAsia="方正仿宋_GBK"/>
          <w:color w:val="000000"/>
          <w:sz w:val="30"/>
          <w:szCs w:val="28"/>
        </w:rPr>
        <w:t>重点特色工作名称：脱贫攻坚工作</w:t>
      </w:r>
    </w:p>
    <w:p>
      <w:pPr>
        <w:adjustRightInd w:val="0"/>
        <w:snapToGrid w:val="0"/>
        <w:textAlignment w:val="center"/>
        <w:rPr>
          <w:rFonts w:eastAsia="方正仿宋_GBK"/>
          <w:sz w:val="30"/>
          <w:szCs w:val="44"/>
        </w:rPr>
      </w:pPr>
      <w:r>
        <w:rPr>
          <w:rFonts w:eastAsia="方正仿宋_GBK"/>
          <w:color w:val="000000"/>
          <w:sz w:val="30"/>
        </w:rPr>
        <w:t>　　3月前完成乡便民中心达标建设；</w:t>
      </w:r>
      <w:r>
        <w:rPr>
          <w:rFonts w:eastAsia="方正仿宋_GBK" w:hint="eastAsia"/>
          <w:color w:val="000000"/>
          <w:sz w:val="30"/>
        </w:rPr>
        <w:t>8</w:t>
      </w:r>
      <w:r>
        <w:rPr>
          <w:rFonts w:eastAsia="方正仿宋_GBK"/>
          <w:color w:val="000000"/>
          <w:sz w:val="30"/>
        </w:rPr>
        <w:t>月前完成乡卫生院达标建设；</w:t>
      </w:r>
      <w:r>
        <w:rPr>
          <w:rFonts w:eastAsia="方正仿宋_GBK" w:hint="eastAsia"/>
          <w:color w:val="000000"/>
          <w:sz w:val="30"/>
        </w:rPr>
        <w:t>9</w:t>
      </w:r>
      <w:r>
        <w:rPr>
          <w:rFonts w:eastAsia="方正仿宋_GBK"/>
          <w:color w:val="000000"/>
          <w:sz w:val="30"/>
        </w:rPr>
        <w:t>月底前达到验收标准</w:t>
      </w:r>
    </w:p>
    <w:p>
      <w:pPr>
        <w:adjustRightInd w:val="0"/>
        <w:snapToGrid w:val="0"/>
        <w:textAlignment w:val="center"/>
        <w:rPr>
          <w:rFonts w:eastAsia="方正仿宋_GBK"/>
          <w:color w:val="000000"/>
          <w:sz w:val="30"/>
          <w:szCs w:val="28"/>
        </w:rPr>
      </w:pPr>
      <w:r>
        <w:rPr>
          <w:rFonts w:eastAsia="方正仿宋_GBK" w:hint="eastAsia"/>
          <w:color w:val="000000"/>
          <w:sz w:val="30"/>
        </w:rPr>
        <w:t>4</w:t>
      </w:r>
      <w:r>
        <w:rPr>
          <w:rFonts w:eastAsia="方正仿宋_GBK"/>
          <w:color w:val="000000"/>
          <w:sz w:val="30"/>
        </w:rPr>
        <w:t>．</w:t>
      </w:r>
      <w:r>
        <w:rPr>
          <w:rFonts w:eastAsia="方正仿宋_GBK"/>
          <w:color w:val="000000"/>
          <w:sz w:val="30"/>
          <w:szCs w:val="28"/>
        </w:rPr>
        <w:t>重点特色工作名称：柠檬产业发展工作</w:t>
      </w:r>
    </w:p>
    <w:p>
      <w:pPr>
        <w:pStyle w:val="15"/>
        <w:adjustRightInd w:val="0"/>
        <w:snapToGrid w:val="0"/>
        <w:spacing w:beforeLines="0" w:before="93" w:line="600" w:lineRule="exact"/>
        <w:ind w:firstLineChars="209" w:firstLine="630"/>
        <w:outlineLvl w:val="2"/>
        <w:rPr>
          <w:rFonts w:ascii="仿宋" w:eastAsia="仿宋"/>
          <w:bCs/>
          <w:color w:val="FF0000"/>
          <w:sz w:val="32"/>
          <w:szCs w:val="32"/>
        </w:rPr>
      </w:pPr>
      <w:r>
        <w:rPr>
          <w:rFonts w:eastAsia="方正仿宋_GBK"/>
          <w:color w:val="000000"/>
        </w:rPr>
        <w:t>4月前完成土地整理工作；5月前完成栽种施肥工作；</w:t>
      </w:r>
      <w:r>
        <w:rPr>
          <w:rFonts w:eastAsia="方正仿宋_GBK" w:hint="eastAsia"/>
          <w:color w:val="000000"/>
        </w:rPr>
        <w:t>6</w:t>
      </w:r>
      <w:r>
        <w:rPr>
          <w:rFonts w:eastAsia="方正仿宋_GBK"/>
          <w:color w:val="000000"/>
        </w:rPr>
        <w:t>月底前达到验收标准</w:t>
      </w:r>
    </w:p>
    <w:p>
      <w:pPr>
        <w:pStyle w:val="2"/>
        <w:numPr>
          <w:ilvl w:val="0"/>
          <w:numId w:val="2"/>
        </w:numPr>
        <w:rPr>
          <w:rFonts w:ascii="黑体" w:eastAsia="黑体"/>
          <w:b w:val="0"/>
          <w:color w:val="000000"/>
        </w:rPr>
      </w:pPr>
      <w:bookmarkStart w:id="21" w:name="_Toc15396601"/>
      <w:bookmarkStart w:id="22" w:name="_Toc15377200"/>
      <w:r>
        <w:rPr>
          <w:rFonts w:ascii="黑体" w:eastAsia="黑体" w:hint="eastAsia"/>
          <w:b w:val="0"/>
          <w:color w:val="000000"/>
        </w:rPr>
        <w:t>机构设置</w:t>
      </w:r>
      <w:bookmarkEnd w:id="21"/>
      <w:bookmarkEnd w:id="22"/>
    </w:p>
    <w:p>
      <w:pPr>
        <w:pStyle w:val="15"/>
        <w:adjustRightInd w:val="0"/>
        <w:snapToGrid w:val="0"/>
        <w:spacing w:beforeLines="0" w:before="93" w:line="578" w:lineRule="exact"/>
        <w:ind w:firstLineChars="209" w:firstLine="672"/>
        <w:rPr>
          <w:sz w:val="32"/>
          <w:szCs w:val="32"/>
        </w:rPr>
      </w:pPr>
      <w:r>
        <w:rPr>
          <w:rFonts w:hint="eastAsia"/>
          <w:sz w:val="32"/>
          <w:szCs w:val="32"/>
        </w:rPr>
        <w:t>永进乡下属单位4个，其中行政单位1个，其他事业单位3个。主要包括：达州市达川区永进乡人民政府、达州市达川区永进乡计划生育服务站、达州市达川区永进乡新闻出版和广播影视站、达州市达川区永进乡社会事务（政务）服务中心。</w:t>
      </w:r>
    </w:p>
    <w:p>
      <w:pPr>
        <w:widowControl/>
        <w:numPr>
          <w:ilvl w:val="0"/>
          <w:numId w:val="3"/>
        </w:numPr>
        <w:spacing w:line="578" w:lineRule="exact"/>
        <w:jc w:val="left"/>
        <w:rPr>
          <w:rFonts w:ascii="仿宋_GB2312" w:eastAsia="仿宋_GB2312"/>
          <w:kern w:val="0"/>
          <w:sz w:val="32"/>
          <w:szCs w:val="32"/>
        </w:rPr>
      </w:pPr>
      <w:r>
        <w:rPr>
          <w:rFonts w:ascii="仿宋_GB2312" w:eastAsia="仿宋_GB2312" w:hint="eastAsia"/>
          <w:kern w:val="0"/>
          <w:sz w:val="32"/>
          <w:szCs w:val="32"/>
        </w:rPr>
        <w:br w:type="page"/>
      </w:r>
    </w:p>
    <w:p>
      <w:pPr>
        <w:pStyle w:val="1"/>
        <w:ind w:right="440"/>
        <w:jc w:val="right"/>
        <w:rPr>
          <w:rStyle w:val="1Char"/>
          <w:rFonts w:ascii="黑体" w:eastAsia="黑体"/>
        </w:rPr>
      </w:pPr>
      <w:bookmarkStart w:id="23" w:name="_Toc15377204"/>
      <w:bookmarkStart w:id="24" w:name="_Toc15396602"/>
      <w:r>
        <w:rPr>
          <w:rFonts w:ascii="黑体" w:eastAsia="黑体" w:hint="eastAsia"/>
          <w:b w:val="0"/>
          <w:color w:val="000000"/>
        </w:rPr>
        <w:t>第二部分</w:t>
      </w:r>
      <w:r>
        <w:rPr>
          <w:rStyle w:val="1Char"/>
          <w:rFonts w:ascii="黑体" w:eastAsia="黑体" w:hint="eastAsia"/>
        </w:rPr>
        <w:t>2018年度部门决算情况说明</w:t>
      </w:r>
      <w:bookmarkEnd w:id="23"/>
      <w:bookmarkEnd w:id="24"/>
    </w:p>
    <w:p/>
    <w:p>
      <w:pPr>
        <w:pStyle w:val="28"/>
        <w:numPr>
          <w:ilvl w:val="0"/>
          <w:numId w:val="4"/>
        </w:numPr>
        <w:spacing w:line="600" w:lineRule="exact"/>
        <w:ind w:firstLineChars="0"/>
        <w:outlineLvl w:val="1"/>
        <w:rPr>
          <w:rStyle w:val="2Char"/>
          <w:rFonts w:ascii="黑体" w:eastAsia="黑体"/>
          <w:b w:val="0"/>
        </w:rPr>
      </w:pPr>
      <w:bookmarkStart w:id="25" w:name="_Toc15396603"/>
      <w:bookmarkStart w:id="26" w:name="_Toc15377205"/>
      <w:r>
        <w:rPr>
          <w:rFonts w:ascii="黑体" w:eastAsia="黑体" w:hint="eastAsia"/>
          <w:color w:val="000000"/>
          <w:sz w:val="32"/>
          <w:szCs w:val="32"/>
        </w:rPr>
        <w:t>收</w:t>
      </w:r>
      <w:r>
        <w:rPr>
          <w:rStyle w:val="2Char"/>
          <w:rFonts w:ascii="黑体" w:eastAsia="黑体" w:hint="eastAsia"/>
          <w:b w:val="0"/>
        </w:rPr>
        <w:t>入支出决算总体情况说明</w:t>
      </w:r>
      <w:bookmarkEnd w:id="25"/>
      <w:bookmarkEnd w:id="26"/>
    </w:p>
    <w:p>
      <w:pPr>
        <w:spacing w:line="600" w:lineRule="exact"/>
        <w:ind w:firstLineChars="200" w:firstLine="640"/>
        <w:rPr>
          <w:rFonts w:ascii="仿宋_GB2312" w:eastAsia="仿宋" w:hAnsi="仿宋_GB2312"/>
          <w:color w:val="000000"/>
          <w:sz w:val="32"/>
          <w:szCs w:val="32"/>
        </w:rPr>
      </w:pPr>
      <w:r>
        <w:rPr>
          <w:rFonts w:ascii="仿宋" w:eastAsia="仿宋" w:hint="eastAsia"/>
          <w:color w:val="000000"/>
          <w:sz w:val="32"/>
          <w:szCs w:val="32"/>
        </w:rPr>
        <w:t>2018年度收、支总计1226.24万元。与2017年相比，收、支总计各增加86.35万元，增长7.57</w:t>
      </w:r>
      <w:r>
        <w:rPr>
          <w:rFonts w:ascii="仿宋" w:eastAsia="仿宋"/>
          <w:color w:val="000000"/>
          <w:sz w:val="32"/>
          <w:szCs w:val="32"/>
        </w:rPr>
        <w:t>%</w:t>
      </w:r>
      <w:r>
        <w:rPr>
          <w:rFonts w:ascii="仿宋" w:eastAsia="仿宋" w:hint="eastAsia"/>
          <w:color w:val="000000"/>
          <w:sz w:val="32"/>
          <w:szCs w:val="32"/>
        </w:rPr>
        <w:t>。主要变动原因是项目收入、支出增加。</w:t>
      </w:r>
    </w:p>
    <w:p>
      <w:pPr>
        <w:pStyle w:val="28"/>
        <w:numPr>
          <w:ilvl w:val="0"/>
          <w:numId w:val="4"/>
        </w:numPr>
        <w:spacing w:line="600" w:lineRule="exact"/>
        <w:ind w:firstLineChars="0"/>
        <w:outlineLvl w:val="1"/>
        <w:rPr>
          <w:rStyle w:val="2Char"/>
          <w:rFonts w:ascii="黑体" w:eastAsia="黑体"/>
          <w:b w:val="0"/>
        </w:rPr>
      </w:pPr>
      <w:bookmarkStart w:id="27" w:name="_Toc15396604"/>
      <w:bookmarkStart w:id="28" w:name="_Toc15377206"/>
      <w:r>
        <w:rPr>
          <w:rFonts w:ascii="黑体" w:eastAsia="黑体" w:hint="eastAsia"/>
          <w:color w:val="000000"/>
          <w:sz w:val="32"/>
          <w:szCs w:val="32"/>
        </w:rPr>
        <w:t>收</w:t>
      </w:r>
      <w:r>
        <w:rPr>
          <w:rStyle w:val="2Char"/>
          <w:rFonts w:ascii="黑体" w:eastAsia="黑体" w:hint="eastAsia"/>
          <w:b w:val="0"/>
        </w:rPr>
        <w:t>入决算情况说明</w:t>
      </w:r>
      <w:bookmarkEnd w:id="27"/>
      <w:bookmarkEnd w:id="28"/>
    </w:p>
    <w:p>
      <w:pPr>
        <w:spacing w:line="600" w:lineRule="exact"/>
        <w:ind w:firstLineChars="200" w:firstLine="640"/>
        <w:outlineLvl w:val="1"/>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8年本年收入合计1226.24万元，其中：一般公共预算财政拨款收入1110.24万元，占90.54</w:t>
      </w:r>
      <w:r>
        <w:rPr>
          <w:rFonts w:ascii="仿宋" w:eastAsia="仿宋"/>
          <w:color w:val="000000"/>
          <w:sz w:val="32"/>
          <w:szCs w:val="32"/>
        </w:rPr>
        <w:t>%</w:t>
      </w:r>
      <w:r>
        <w:rPr>
          <w:rFonts w:ascii="仿宋" w:eastAsia="仿宋" w:hint="eastAsia"/>
          <w:color w:val="000000"/>
          <w:sz w:val="32"/>
          <w:szCs w:val="32"/>
        </w:rPr>
        <w:t>；政府性基金预算财政拨款收入116万元，占9.46</w:t>
      </w:r>
      <w:r>
        <w:rPr>
          <w:rFonts w:ascii="仿宋" w:eastAsia="仿宋"/>
          <w:color w:val="000000"/>
          <w:sz w:val="32"/>
          <w:szCs w:val="32"/>
        </w:rPr>
        <w:t>%</w:t>
      </w:r>
      <w:r>
        <w:rPr>
          <w:rFonts w:ascii="仿宋" w:eastAsia="仿宋" w:hint="eastAsia"/>
          <w:color w:val="000000"/>
          <w:sz w:val="32"/>
          <w:szCs w:val="32"/>
        </w:rPr>
        <w:t>；国有资本经营预算财政拨款收入0万元，占0</w:t>
      </w:r>
      <w:r>
        <w:rPr>
          <w:rFonts w:ascii="仿宋" w:eastAsia="仿宋"/>
          <w:color w:val="000000"/>
          <w:sz w:val="32"/>
          <w:szCs w:val="32"/>
        </w:rPr>
        <w:t>%</w:t>
      </w:r>
      <w:r>
        <w:rPr>
          <w:rFonts w:ascii="仿宋" w:eastAsia="仿宋" w:hint="eastAsia"/>
          <w:color w:val="000000"/>
          <w:sz w:val="32"/>
          <w:szCs w:val="32"/>
        </w:rPr>
        <w:t>；事业收入0万元，占0</w:t>
      </w:r>
      <w:r>
        <w:rPr>
          <w:rFonts w:ascii="仿宋" w:eastAsia="仿宋"/>
          <w:color w:val="000000"/>
          <w:sz w:val="32"/>
          <w:szCs w:val="32"/>
        </w:rPr>
        <w:t>%</w:t>
      </w:r>
      <w:r>
        <w:rPr>
          <w:rFonts w:ascii="仿宋" w:eastAsia="仿宋" w:hint="eastAsia"/>
          <w:color w:val="000000"/>
          <w:sz w:val="32"/>
          <w:szCs w:val="32"/>
        </w:rPr>
        <w:t>；经营收入0万元，占0</w:t>
      </w:r>
      <w:r>
        <w:rPr>
          <w:rFonts w:ascii="仿宋" w:eastAsia="仿宋"/>
          <w:color w:val="000000"/>
          <w:sz w:val="32"/>
          <w:szCs w:val="32"/>
        </w:rPr>
        <w:t>%</w:t>
      </w:r>
      <w:r>
        <w:rPr>
          <w:rFonts w:ascii="仿宋" w:eastAsia="仿宋" w:hint="eastAsia"/>
          <w:color w:val="000000"/>
          <w:sz w:val="32"/>
          <w:szCs w:val="32"/>
        </w:rPr>
        <w:t>；附属单位上缴收入0万元，占0</w:t>
      </w:r>
      <w:r>
        <w:rPr>
          <w:rFonts w:ascii="仿宋" w:eastAsia="仿宋"/>
          <w:color w:val="000000"/>
          <w:sz w:val="32"/>
          <w:szCs w:val="32"/>
        </w:rPr>
        <w:t>%</w:t>
      </w:r>
      <w:r>
        <w:rPr>
          <w:rFonts w:ascii="仿宋" w:eastAsia="仿宋" w:hint="eastAsia"/>
          <w:color w:val="000000"/>
          <w:sz w:val="32"/>
          <w:szCs w:val="32"/>
        </w:rPr>
        <w:t>；其他收入0万元，占0</w:t>
      </w:r>
      <w:r>
        <w:rPr>
          <w:rFonts w:ascii="仿宋" w:eastAsia="仿宋"/>
          <w:color w:val="000000"/>
          <w:sz w:val="32"/>
          <w:szCs w:val="32"/>
        </w:rPr>
        <w:t>%</w:t>
      </w:r>
      <w:r>
        <w:rPr>
          <w:rFonts w:ascii="仿宋" w:eastAsia="仿宋" w:hint="eastAsia"/>
          <w:color w:val="000000"/>
          <w:sz w:val="32"/>
          <w:szCs w:val="32"/>
        </w:rPr>
        <w:t>。</w:t>
      </w:r>
    </w:p>
    <w:p>
      <w:pPr>
        <w:pStyle w:val="28"/>
        <w:numPr>
          <w:ilvl w:val="0"/>
          <w:numId w:val="4"/>
        </w:numPr>
        <w:spacing w:line="600" w:lineRule="exact"/>
        <w:ind w:firstLineChars="0"/>
        <w:outlineLvl w:val="1"/>
        <w:rPr>
          <w:rStyle w:val="2Char"/>
          <w:rFonts w:ascii="黑体" w:eastAsia="黑体"/>
          <w:b w:val="0"/>
        </w:rPr>
      </w:pPr>
      <w:bookmarkStart w:id="29" w:name="_Toc15377207"/>
      <w:bookmarkStart w:id="30" w:name="_Toc15396605"/>
      <w:r>
        <w:rPr>
          <w:rFonts w:ascii="黑体" w:eastAsia="黑体" w:hint="eastAsia"/>
          <w:color w:val="000000"/>
          <w:sz w:val="32"/>
          <w:szCs w:val="32"/>
        </w:rPr>
        <w:t>支</w:t>
      </w:r>
      <w:r>
        <w:rPr>
          <w:rStyle w:val="2Char"/>
          <w:rFonts w:ascii="黑体" w:eastAsia="黑体" w:hint="eastAsia"/>
          <w:b w:val="0"/>
        </w:rPr>
        <w:t>出决算情况说明</w:t>
      </w:r>
      <w:bookmarkEnd w:id="29"/>
      <w:bookmarkEnd w:id="30"/>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ascii="仿宋" w:eastAsia="仿宋" w:hint="eastAsia"/>
          <w:color w:val="000000"/>
          <w:sz w:val="32"/>
          <w:szCs w:val="32"/>
        </w:rPr>
        <w:t>8年本年支出合计1226.24万元，其中：基本支出868.57万元，占70.83</w:t>
      </w:r>
      <w:r>
        <w:rPr>
          <w:rFonts w:ascii="仿宋" w:eastAsia="仿宋"/>
          <w:color w:val="000000"/>
          <w:sz w:val="32"/>
          <w:szCs w:val="32"/>
        </w:rPr>
        <w:t>%</w:t>
      </w:r>
      <w:r>
        <w:rPr>
          <w:rFonts w:ascii="仿宋" w:eastAsia="仿宋" w:hint="eastAsia"/>
          <w:color w:val="000000"/>
          <w:sz w:val="32"/>
          <w:szCs w:val="32"/>
        </w:rPr>
        <w:t>；项目支出357.67万元，占29.17</w:t>
      </w:r>
      <w:r>
        <w:rPr>
          <w:rFonts w:ascii="仿宋" w:eastAsia="仿宋"/>
          <w:color w:val="000000"/>
          <w:sz w:val="32"/>
          <w:szCs w:val="32"/>
        </w:rPr>
        <w:t>%</w:t>
      </w:r>
      <w:r>
        <w:rPr>
          <w:rFonts w:ascii="仿宋" w:eastAsia="仿宋" w:hint="eastAsia"/>
          <w:color w:val="000000"/>
          <w:sz w:val="32"/>
          <w:szCs w:val="32"/>
        </w:rPr>
        <w:t>；上缴上级支出0万元，占0</w:t>
      </w:r>
      <w:r>
        <w:rPr>
          <w:rFonts w:ascii="仿宋" w:eastAsia="仿宋"/>
          <w:color w:val="000000"/>
          <w:sz w:val="32"/>
          <w:szCs w:val="32"/>
        </w:rPr>
        <w:t>%</w:t>
      </w:r>
      <w:r>
        <w:rPr>
          <w:rFonts w:ascii="仿宋" w:eastAsia="仿宋" w:hint="eastAsia"/>
          <w:color w:val="000000"/>
          <w:sz w:val="32"/>
          <w:szCs w:val="32"/>
        </w:rPr>
        <w:t>；经营支出0万元，占0</w:t>
      </w:r>
      <w:r>
        <w:rPr>
          <w:rFonts w:ascii="仿宋" w:eastAsia="仿宋"/>
          <w:color w:val="000000"/>
          <w:sz w:val="32"/>
          <w:szCs w:val="32"/>
        </w:rPr>
        <w:t>%</w:t>
      </w:r>
      <w:r>
        <w:rPr>
          <w:rFonts w:ascii="仿宋" w:eastAsia="仿宋" w:hint="eastAsia"/>
          <w:color w:val="000000"/>
          <w:sz w:val="32"/>
          <w:szCs w:val="32"/>
        </w:rPr>
        <w:t>；对附属单位补助支出0万元，占0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1"/>
        <w:rPr>
          <w:rStyle w:val="2Char"/>
          <w:rFonts w:ascii="黑体" w:eastAsia="黑体"/>
          <w:b w:val="0"/>
        </w:rPr>
      </w:pPr>
      <w:bookmarkStart w:id="31" w:name="_Toc15396606"/>
      <w:bookmarkStart w:id="32" w:name="_Toc15377208"/>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31"/>
      <w:bookmarkEnd w:id="32"/>
    </w:p>
    <w:p>
      <w:pPr>
        <w:spacing w:line="600" w:lineRule="exact"/>
        <w:ind w:firstLineChars="200" w:firstLine="640"/>
        <w:rPr>
          <w:rFonts w:ascii="仿宋_GB2312" w:eastAsia="仿宋" w:hAnsi="仿宋_GB2312"/>
          <w:color w:val="000000"/>
          <w:sz w:val="32"/>
          <w:szCs w:val="32"/>
        </w:rPr>
      </w:pPr>
      <w:r>
        <w:rPr>
          <w:rFonts w:ascii="仿宋" w:eastAsia="仿宋"/>
          <w:color w:val="000000"/>
          <w:sz w:val="32"/>
          <w:szCs w:val="32"/>
        </w:rPr>
        <w:t>201</w:t>
      </w:r>
      <w:r>
        <w:rPr>
          <w:rFonts w:ascii="仿宋" w:eastAsia="仿宋" w:hint="eastAsia"/>
          <w:color w:val="000000"/>
          <w:sz w:val="32"/>
          <w:szCs w:val="32"/>
        </w:rPr>
        <w:t>8年财政拨款收、支总计1226.24万元。与</w:t>
      </w:r>
      <w:r>
        <w:rPr>
          <w:rFonts w:ascii="仿宋" w:eastAsia="仿宋"/>
          <w:color w:val="000000"/>
          <w:sz w:val="32"/>
          <w:szCs w:val="32"/>
        </w:rPr>
        <w:t>201</w:t>
      </w:r>
      <w:r>
        <w:rPr>
          <w:rFonts w:ascii="仿宋" w:eastAsia="仿宋" w:hint="eastAsia"/>
          <w:color w:val="000000"/>
          <w:sz w:val="32"/>
          <w:szCs w:val="32"/>
        </w:rPr>
        <w:t>7年相比，财政拨款收、支总计各增加86.35万元，增长7.57</w:t>
      </w:r>
      <w:r>
        <w:rPr>
          <w:rFonts w:ascii="仿宋" w:eastAsia="仿宋"/>
          <w:color w:val="000000"/>
          <w:sz w:val="32"/>
          <w:szCs w:val="32"/>
        </w:rPr>
        <w:t>%</w:t>
      </w:r>
      <w:r>
        <w:rPr>
          <w:rFonts w:ascii="仿宋" w:eastAsia="仿宋" w:hint="eastAsia"/>
          <w:color w:val="000000"/>
          <w:sz w:val="32"/>
          <w:szCs w:val="32"/>
        </w:rPr>
        <w:t>。主要变动原因是项目收入、支出增加。</w:t>
      </w:r>
    </w:p>
    <w:p>
      <w:pPr>
        <w:spacing w:line="600" w:lineRule="exact"/>
        <w:ind w:firstLineChars="200" w:firstLine="640"/>
        <w:outlineLvl w:val="1"/>
        <w:rPr>
          <w:rStyle w:val="2Char"/>
          <w:rFonts w:ascii="黑体" w:eastAsia="黑体"/>
          <w:b w:val="0"/>
        </w:rPr>
      </w:pPr>
      <w:bookmarkStart w:id="33" w:name="_Toc15396607"/>
      <w:bookmarkStart w:id="34" w:name="_Toc15377209"/>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3"/>
      <w:bookmarkEnd w:id="34"/>
    </w:p>
    <w:p>
      <w:pPr>
        <w:spacing w:line="600" w:lineRule="exact"/>
        <w:ind w:firstLineChars="200" w:firstLine="640"/>
        <w:outlineLvl w:val="2"/>
        <w:rPr>
          <w:rFonts w:ascii="仿宋" w:eastAsia="仿宋"/>
          <w:b/>
          <w:color w:val="000000"/>
          <w:sz w:val="32"/>
          <w:szCs w:val="32"/>
        </w:rPr>
      </w:pPr>
      <w:bookmarkStart w:id="35" w:name="_Toc15377210"/>
      <w:r>
        <w:rPr>
          <w:rFonts w:ascii="仿宋" w:eastAsia="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8年一般公共预算财政拨款支出1110.24万元，占本年支出合计的90.54</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w:t>
      </w:r>
      <w:r>
        <w:rPr>
          <w:rFonts w:ascii="仿宋" w:eastAsia="仿宋" w:hint="eastAsia"/>
          <w:color w:val="000000"/>
          <w:sz w:val="32"/>
          <w:szCs w:val="32"/>
        </w:rPr>
        <w:t>7年相比，一般公共预算财政拨款减少6.65万元，下降0.59</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2"/>
        <w:rPr>
          <w:rFonts w:ascii="仿宋" w:eastAsia="仿宋"/>
          <w:b/>
          <w:color w:val="000000"/>
          <w:sz w:val="32"/>
          <w:szCs w:val="32"/>
        </w:rPr>
      </w:pPr>
      <w:bookmarkStart w:id="36" w:name="_Toc15377211"/>
      <w:r>
        <w:rPr>
          <w:rFonts w:ascii="仿宋" w:eastAsia="仿宋" w:hint="eastAsia"/>
          <w:b/>
          <w:color w:val="000000"/>
          <w:sz w:val="32"/>
          <w:szCs w:val="32"/>
        </w:rPr>
        <w:t>（二）一般公共预算财政拨款支出决算结构情况</w:t>
      </w:r>
      <w:bookmarkEnd w:id="36"/>
    </w:p>
    <w:p>
      <w:pPr>
        <w:spacing w:line="600" w:lineRule="exact"/>
        <w:ind w:firstLine="640"/>
        <w:rPr>
          <w:rFonts w:ascii="仿宋_GB2312" w:eastAsia="仿宋_GB2312"/>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8年一般公共预算财政拨款支出1110.24万元，</w:t>
      </w:r>
      <w:r>
        <w:rPr>
          <w:rFonts w:ascii="仿宋_GB2312" w:eastAsia="仿宋_GB2312" w:hint="eastAsia"/>
          <w:color w:val="000000"/>
          <w:sz w:val="32"/>
          <w:szCs w:val="32"/>
        </w:rPr>
        <w:t>主要用于以下方面:一般公共服务支出335.44万元，占30.21%；文化体育与传媒支出24.16万元，占2.18%；社会保障和就业支出313.75万元，占28.26%；医疗卫生支出39.94万元，占3.6%；城乡社区支出36.47万元，占3.29%；农林水支出333.22万元，占30.01%；住房保障支出27.26万元，占2.45%。</w:t>
      </w:r>
    </w:p>
    <w:p>
      <w:pPr>
        <w:spacing w:line="600" w:lineRule="exact"/>
        <w:ind w:firstLineChars="200" w:firstLine="640"/>
        <w:outlineLvl w:val="2"/>
        <w:rPr>
          <w:rFonts w:ascii="仿宋" w:eastAsia="仿宋"/>
          <w:b/>
          <w:color w:val="000000"/>
          <w:sz w:val="32"/>
          <w:szCs w:val="32"/>
        </w:rPr>
      </w:pPr>
      <w:bookmarkStart w:id="37" w:name="_Toc15377212"/>
      <w:r>
        <w:rPr>
          <w:rFonts w:ascii="仿宋" w:eastAsia="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color w:val="FF0000"/>
          <w:sz w:val="32"/>
          <w:szCs w:val="32"/>
        </w:rPr>
      </w:pPr>
      <w:bookmarkStart w:id="38" w:name="_Toc15377213"/>
      <w:bookmarkStart w:id="39" w:name="_Toc15377444"/>
      <w:bookmarkStart w:id="40" w:name="_Toc15378460"/>
      <w:r>
        <w:rPr>
          <w:rFonts w:ascii="仿宋" w:eastAsia="仿宋" w:hint="eastAsia"/>
          <w:b/>
          <w:color w:val="000000"/>
          <w:sz w:val="32"/>
          <w:szCs w:val="32"/>
        </w:rPr>
        <w:t>2018年一般公共预算支出决算数为1110.24</w:t>
      </w:r>
      <w:r>
        <w:rPr>
          <w:rFonts w:ascii="仿宋" w:eastAsia="仿宋" w:hint="eastAsia"/>
          <w:color w:val="000000"/>
          <w:sz w:val="32"/>
          <w:szCs w:val="32"/>
        </w:rPr>
        <w:t>，</w:t>
      </w:r>
      <w:r>
        <w:rPr>
          <w:rStyle w:val="22"/>
          <w:rFonts w:ascii="仿宋" w:eastAsia="仿宋" w:hint="eastAsia"/>
          <w:bCs/>
          <w:color w:val="000000"/>
          <w:sz w:val="32"/>
          <w:szCs w:val="32"/>
        </w:rPr>
        <w:t>完成预算100</w:t>
      </w:r>
      <w:r>
        <w:rPr>
          <w:rStyle w:val="22"/>
          <w:rFonts w:ascii="仿宋" w:eastAsia="仿宋"/>
          <w:bCs/>
          <w:color w:val="000000"/>
          <w:sz w:val="32"/>
          <w:szCs w:val="32"/>
        </w:rPr>
        <w:t>%</w:t>
      </w:r>
      <w:r>
        <w:rPr>
          <w:rStyle w:val="22"/>
          <w:rFonts w:ascii="仿宋" w:eastAsia="仿宋" w:hint="eastAsia"/>
          <w:bCs/>
          <w:color w:val="000000"/>
          <w:sz w:val="32"/>
          <w:szCs w:val="32"/>
        </w:rPr>
        <w:t>。其中：</w:t>
      </w:r>
      <w:bookmarkEnd w:id="38"/>
      <w:bookmarkEnd w:id="39"/>
      <w:bookmarkEnd w:id="40"/>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1.一般公共服务：</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2010301一般公共服务支出（类）政府办公厅（室）及相关机构事务（款）行政运行（项）：</w:t>
      </w:r>
      <w:r>
        <w:rPr>
          <w:rStyle w:val="22"/>
          <w:rFonts w:ascii="仿宋" w:eastAsia="仿宋" w:hint="eastAsia"/>
          <w:b w:val="0"/>
          <w:bCs/>
          <w:color w:val="000000"/>
          <w:sz w:val="32"/>
          <w:szCs w:val="32"/>
        </w:rPr>
        <w:t>支出决算为251.56万元，完成预算100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 w:eastAsia="仿宋" w:hint="eastAsia"/>
          <w:bCs/>
          <w:color w:val="000000"/>
          <w:sz w:val="32"/>
          <w:szCs w:val="32"/>
        </w:rPr>
        <w:t>2010302一般公共服务支出（类）政府办公厅（室）及相关机构事务（款）一般行政管理事务（项）：</w:t>
      </w:r>
      <w:r>
        <w:rPr>
          <w:rStyle w:val="22"/>
          <w:rFonts w:ascii="仿宋" w:eastAsia="仿宋" w:hint="eastAsia"/>
          <w:b w:val="0"/>
          <w:bCs/>
          <w:color w:val="000000"/>
          <w:sz w:val="32"/>
          <w:szCs w:val="32"/>
        </w:rPr>
        <w:t>支出决算为67.37万元，完成预算100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2010601一般公共服务支出（类）财政事务（款）行政运行（项）：</w:t>
      </w:r>
      <w:r>
        <w:rPr>
          <w:rStyle w:val="22"/>
          <w:rFonts w:ascii="仿宋" w:eastAsia="仿宋" w:hint="eastAsia"/>
          <w:b w:val="0"/>
          <w:bCs/>
          <w:color w:val="000000"/>
          <w:sz w:val="32"/>
          <w:szCs w:val="32"/>
        </w:rPr>
        <w:t>支出决算为13.51万元，完成预算100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2011199一般公共服务支出（类）纪检监察事务（款）其他纪检监察事务支出（项）：</w:t>
      </w:r>
      <w:r>
        <w:rPr>
          <w:rStyle w:val="22"/>
          <w:rFonts w:ascii="仿宋" w:eastAsia="仿宋" w:hint="eastAsia"/>
          <w:b w:val="0"/>
          <w:bCs/>
          <w:color w:val="000000"/>
          <w:sz w:val="32"/>
          <w:szCs w:val="32"/>
        </w:rPr>
        <w:t>支出决算为3万元，完成预算100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tab/>
      </w:r>
    </w:p>
    <w:p>
      <w:pPr>
        <w:spacing w:line="578" w:lineRule="exact"/>
        <w:ind w:firstLineChars="200" w:firstLine="640"/>
        <w:rPr>
          <w:rFonts w:ascii="仿宋_GB2312" w:eastAsia="仿宋_GB2312"/>
          <w:color w:val="000000"/>
          <w:sz w:val="32"/>
          <w:szCs w:val="32"/>
        </w:rPr>
      </w:pPr>
      <w:r>
        <w:rPr>
          <w:rStyle w:val="22"/>
          <w:rFonts w:ascii="仿宋" w:eastAsia="仿宋" w:hint="eastAsia"/>
          <w:bCs/>
          <w:color w:val="000000"/>
          <w:sz w:val="32"/>
          <w:szCs w:val="32"/>
        </w:rPr>
        <w:t>2</w:t>
      </w:r>
      <w:r>
        <w:rPr>
          <w:rStyle w:val="22"/>
          <w:rFonts w:ascii="仿宋" w:eastAsia="仿宋"/>
          <w:bCs/>
          <w:color w:val="000000"/>
          <w:sz w:val="32"/>
          <w:szCs w:val="32"/>
        </w:rPr>
        <w:t>.</w:t>
      </w:r>
      <w:r>
        <w:rPr>
          <w:rStyle w:val="22"/>
          <w:rFonts w:ascii="仿宋_GB2312" w:eastAsia="仿宋_GB2312" w:hint="eastAsia"/>
          <w:color w:val="000000"/>
          <w:sz w:val="32"/>
          <w:szCs w:val="32"/>
        </w:rPr>
        <w:t>文化体育与传媒类：</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2070199文化体育与传媒支出（类）文化（款）其他文化支出（项）：</w:t>
      </w:r>
      <w:r>
        <w:rPr>
          <w:rStyle w:val="22"/>
          <w:rFonts w:ascii="仿宋" w:eastAsia="仿宋" w:hint="eastAsia"/>
          <w:b w:val="0"/>
          <w:bCs/>
          <w:color w:val="000000"/>
          <w:sz w:val="32"/>
          <w:szCs w:val="32"/>
        </w:rPr>
        <w:t>支出决算为9.3万元，完成预算100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Fonts w:ascii="仿宋" w:eastAsia="仿宋"/>
          <w:b/>
          <w:color w:val="000000"/>
          <w:sz w:val="32"/>
          <w:szCs w:val="32"/>
        </w:rPr>
      </w:pPr>
      <w:r>
        <w:rPr>
          <w:rStyle w:val="22"/>
          <w:rFonts w:ascii="仿宋_GB2312" w:eastAsia="仿宋_GB2312" w:hint="eastAsia"/>
          <w:color w:val="000000"/>
          <w:sz w:val="32"/>
          <w:szCs w:val="32"/>
        </w:rPr>
        <w:t>2070404文化体育与传媒支出（类）新闻出版广播影视（款）广播（项）：</w:t>
      </w:r>
      <w:r>
        <w:rPr>
          <w:rStyle w:val="22"/>
          <w:rFonts w:ascii="仿宋" w:eastAsia="仿宋" w:hint="eastAsia"/>
          <w:b w:val="0"/>
          <w:bCs/>
          <w:color w:val="000000"/>
          <w:sz w:val="32"/>
          <w:szCs w:val="32"/>
        </w:rPr>
        <w:t>支出决算为14.86万元，完成预算100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578" w:lineRule="exact"/>
        <w:ind w:firstLineChars="200" w:firstLine="640"/>
        <w:rPr>
          <w:rStyle w:val="22"/>
          <w:rFonts w:ascii="仿宋_GB2312" w:eastAsia="仿宋_GB2312"/>
          <w:color w:val="000000"/>
          <w:sz w:val="32"/>
          <w:szCs w:val="32"/>
        </w:rPr>
      </w:pPr>
      <w:r>
        <w:rPr>
          <w:rStyle w:val="22"/>
          <w:rFonts w:ascii="仿宋" w:eastAsia="仿宋" w:hint="eastAsia"/>
          <w:bCs/>
          <w:color w:val="000000"/>
          <w:sz w:val="32"/>
          <w:szCs w:val="32"/>
        </w:rPr>
        <w:t>3</w:t>
      </w:r>
      <w:r>
        <w:rPr>
          <w:rStyle w:val="22"/>
          <w:rFonts w:ascii="仿宋" w:eastAsia="仿宋"/>
          <w:bCs/>
          <w:color w:val="000000"/>
          <w:sz w:val="32"/>
          <w:szCs w:val="32"/>
        </w:rPr>
        <w:t>.</w:t>
      </w:r>
      <w:r>
        <w:rPr>
          <w:rStyle w:val="22"/>
          <w:rFonts w:ascii="仿宋_GB2312" w:eastAsia="仿宋_GB2312" w:hint="eastAsia"/>
          <w:color w:val="000000"/>
          <w:sz w:val="32"/>
          <w:szCs w:val="32"/>
        </w:rPr>
        <w:t>社会保障和就业：</w:t>
      </w:r>
    </w:p>
    <w:p>
      <w:pPr>
        <w:spacing w:line="600" w:lineRule="exact"/>
        <w:ind w:firstLineChars="200" w:firstLine="640"/>
        <w:rPr>
          <w:rStyle w:val="22"/>
          <w:rFonts w:ascii="仿宋" w:eastAsia="仿宋"/>
          <w:b w:val="0"/>
          <w:bCs/>
          <w:color w:val="000000"/>
          <w:sz w:val="32"/>
          <w:szCs w:val="32"/>
        </w:rPr>
      </w:pPr>
      <w:r>
        <w:rPr>
          <w:rStyle w:val="22"/>
          <w:rFonts w:ascii="仿宋_GB2312" w:eastAsia="仿宋_GB2312" w:hint="eastAsia"/>
          <w:color w:val="000000"/>
          <w:sz w:val="32"/>
          <w:szCs w:val="32"/>
        </w:rPr>
        <w:t>2080505社会保障和就业支出（类）行政事业单位离退休（款）机关事业单位基本养老保险缴费支出★（项）：</w:t>
      </w:r>
      <w:r>
        <w:rPr>
          <w:rStyle w:val="22"/>
          <w:rFonts w:ascii="仿宋" w:eastAsia="仿宋" w:hint="eastAsia"/>
          <w:b w:val="0"/>
          <w:bCs/>
          <w:color w:val="000000"/>
          <w:sz w:val="32"/>
          <w:szCs w:val="32"/>
        </w:rPr>
        <w:t>支出决算为26.22万元，完成预算100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 w:val="0"/>
          <w:bCs/>
          <w:color w:val="000000"/>
          <w:sz w:val="32"/>
          <w:szCs w:val="32"/>
        </w:rPr>
        <w:t>2080506</w:t>
      </w:r>
      <w:r>
        <w:rPr>
          <w:rStyle w:val="22"/>
          <w:rFonts w:ascii="仿宋_GB2312" w:eastAsia="仿宋_GB2312" w:hint="eastAsia"/>
          <w:color w:val="000000"/>
          <w:sz w:val="32"/>
          <w:szCs w:val="32"/>
        </w:rPr>
        <w:t>社会保障和就业支出（类）行政事业单位离退休（款）机关事业单位职业年金缴费支出★（项）：</w:t>
      </w:r>
      <w:r>
        <w:rPr>
          <w:rStyle w:val="22"/>
          <w:rFonts w:ascii="仿宋" w:eastAsia="仿宋" w:hint="eastAsia"/>
          <w:b w:val="0"/>
          <w:bCs/>
          <w:color w:val="000000"/>
          <w:sz w:val="32"/>
          <w:szCs w:val="32"/>
        </w:rPr>
        <w:t>支出决算为1.24万元，完成预算100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2080803社会保障和就业支出（类）抚恤（款）在乡复员退伍军人生活补助（项）：</w:t>
      </w:r>
      <w:r>
        <w:rPr>
          <w:rStyle w:val="22"/>
          <w:rFonts w:ascii="仿宋" w:eastAsia="仿宋" w:hint="eastAsia"/>
          <w:b w:val="0"/>
          <w:bCs/>
          <w:color w:val="000000"/>
          <w:sz w:val="32"/>
          <w:szCs w:val="32"/>
        </w:rPr>
        <w:t>支出决算为181.96万元，完成预算100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2080805社会保障和就业支出（类）抚恤（款）义务兵优待（项）：</w:t>
      </w:r>
      <w:r>
        <w:rPr>
          <w:rStyle w:val="22"/>
          <w:rFonts w:ascii="仿宋" w:eastAsia="仿宋" w:hint="eastAsia"/>
          <w:b w:val="0"/>
          <w:bCs/>
          <w:color w:val="000000"/>
          <w:sz w:val="32"/>
          <w:szCs w:val="32"/>
        </w:rPr>
        <w:t>支出决算为15.07万元，完成预算100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2081199社会保障和就业支出（类）残疾人事业（款）其他残疾人事业支出（项）：</w:t>
      </w:r>
      <w:r>
        <w:rPr>
          <w:rStyle w:val="22"/>
          <w:rFonts w:ascii="仿宋" w:eastAsia="仿宋" w:hint="eastAsia"/>
          <w:b w:val="0"/>
          <w:bCs/>
          <w:color w:val="000000"/>
          <w:sz w:val="32"/>
          <w:szCs w:val="32"/>
        </w:rPr>
        <w:t>支出决算为2.35万元，完成预算100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r>
        <w:rPr>
          <w:rStyle w:val="22"/>
          <w:rFonts w:ascii="仿宋_GB2312" w:eastAsia="仿宋_GB2312" w:hint="eastAsia"/>
          <w:color w:val="000000"/>
          <w:sz w:val="32"/>
          <w:szCs w:val="32"/>
        </w:rPr>
        <w:tab/>
        <w:tab/>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2082102社会保障和就业支出（类）特困人员救助供养★（款）农村特困人员救助供养支出★（项）：</w:t>
      </w:r>
      <w:r>
        <w:rPr>
          <w:rStyle w:val="22"/>
          <w:rFonts w:ascii="仿宋" w:eastAsia="仿宋" w:hint="eastAsia"/>
          <w:b w:val="0"/>
          <w:bCs/>
          <w:color w:val="000000"/>
          <w:sz w:val="32"/>
          <w:szCs w:val="32"/>
        </w:rPr>
        <w:t>支出决算为86.92万元，完成预算100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578" w:lineRule="exact"/>
        <w:ind w:firstLineChars="200" w:firstLine="640"/>
        <w:rPr>
          <w:rStyle w:val="22"/>
          <w:rFonts w:ascii="仿宋_GB2312" w:eastAsia="仿宋_GB2312"/>
          <w:color w:val="000000"/>
          <w:sz w:val="32"/>
          <w:szCs w:val="32"/>
        </w:rPr>
      </w:pPr>
      <w:r>
        <w:rPr>
          <w:rStyle w:val="22"/>
          <w:rFonts w:ascii="仿宋" w:eastAsia="仿宋" w:hint="eastAsia"/>
          <w:bCs/>
          <w:color w:val="000000"/>
          <w:sz w:val="32"/>
          <w:szCs w:val="32"/>
        </w:rPr>
        <w:t>4</w:t>
      </w:r>
      <w:r>
        <w:rPr>
          <w:rStyle w:val="22"/>
          <w:rFonts w:ascii="仿宋" w:eastAsia="仿宋"/>
          <w:bCs/>
          <w:color w:val="000000"/>
          <w:sz w:val="32"/>
          <w:szCs w:val="32"/>
        </w:rPr>
        <w:t>.</w:t>
      </w:r>
      <w:r>
        <w:rPr>
          <w:rStyle w:val="22"/>
          <w:rFonts w:ascii="仿宋_GB2312" w:eastAsia="仿宋_GB2312" w:hint="eastAsia"/>
          <w:color w:val="000000"/>
          <w:sz w:val="32"/>
          <w:szCs w:val="32"/>
        </w:rPr>
        <w:t>医疗卫生与计划生育：</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2100716医疗卫生与计划生育支出（类）计划生育事务（款）计划生育机构（项）：</w:t>
      </w:r>
      <w:r>
        <w:rPr>
          <w:rStyle w:val="22"/>
          <w:rFonts w:ascii="仿宋" w:eastAsia="仿宋" w:hint="eastAsia"/>
          <w:b w:val="0"/>
          <w:bCs/>
          <w:color w:val="000000"/>
          <w:sz w:val="32"/>
          <w:szCs w:val="32"/>
        </w:rPr>
        <w:t>支出决算为23.41万元，完成预算100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2101101医疗卫生与计划生育支出（类）行政事业单位医疗（款）行政单位医疗（项）：</w:t>
      </w:r>
      <w:r>
        <w:rPr>
          <w:rStyle w:val="22"/>
          <w:rFonts w:ascii="仿宋" w:eastAsia="仿宋" w:hint="eastAsia"/>
          <w:b w:val="0"/>
          <w:bCs/>
          <w:color w:val="000000"/>
          <w:sz w:val="32"/>
          <w:szCs w:val="32"/>
        </w:rPr>
        <w:t>支出决算为6.6万元，完成预算100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_GB2312" w:eastAsia="仿宋_GB2312" w:hint="eastAsia"/>
          <w:color w:val="000000"/>
          <w:sz w:val="32"/>
          <w:szCs w:val="32"/>
        </w:rPr>
        <w:t>2101102医疗卫生与计划生育支出（类）行政事业单位医疗（款）事业单位医疗（项）：</w:t>
      </w:r>
      <w:r>
        <w:rPr>
          <w:rStyle w:val="22"/>
          <w:rFonts w:ascii="仿宋" w:eastAsia="仿宋" w:hint="eastAsia"/>
          <w:b w:val="0"/>
          <w:bCs/>
          <w:color w:val="000000"/>
          <w:sz w:val="32"/>
          <w:szCs w:val="32"/>
        </w:rPr>
        <w:t>支出决算为3.88万元，完成预算100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_GB2312" w:eastAsia="仿宋_GB2312" w:hint="eastAsia"/>
          <w:color w:val="000000"/>
          <w:sz w:val="32"/>
          <w:szCs w:val="32"/>
        </w:rPr>
        <w:t>2101102医疗卫生与计划生育支出（类）行政事业单位医疗（款）公务员医疗补助★（项）：</w:t>
      </w:r>
      <w:r>
        <w:rPr>
          <w:rStyle w:val="22"/>
          <w:rFonts w:ascii="仿宋" w:eastAsia="仿宋" w:hint="eastAsia"/>
          <w:b w:val="0"/>
          <w:bCs/>
          <w:color w:val="000000"/>
          <w:sz w:val="32"/>
          <w:szCs w:val="32"/>
        </w:rPr>
        <w:t>支出决算为6.05万元，完成预算100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578"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5.城乡社区支出：</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2120199城乡社区支出（类）其他城乡社区管理事务（款）  其他城乡社区管理事务支出（项）：</w:t>
      </w:r>
      <w:r>
        <w:rPr>
          <w:rStyle w:val="22"/>
          <w:rFonts w:ascii="仿宋" w:eastAsia="仿宋" w:hint="eastAsia"/>
          <w:b w:val="0"/>
          <w:bCs/>
          <w:color w:val="000000"/>
          <w:sz w:val="32"/>
          <w:szCs w:val="32"/>
        </w:rPr>
        <w:t>支出决算为18.47万元，完成预算100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_GB2312" w:eastAsia="仿宋_GB2312" w:hint="eastAsia"/>
          <w:color w:val="000000"/>
          <w:sz w:val="32"/>
          <w:szCs w:val="32"/>
        </w:rPr>
        <w:t>2120303城乡社区支出（类）城乡社区公共设施（款）小城镇基础设施建设（项）：</w:t>
      </w:r>
      <w:r>
        <w:rPr>
          <w:rStyle w:val="22"/>
          <w:rFonts w:ascii="仿宋" w:eastAsia="仿宋" w:hint="eastAsia"/>
          <w:b w:val="0"/>
          <w:bCs/>
          <w:color w:val="000000"/>
          <w:sz w:val="32"/>
          <w:szCs w:val="32"/>
        </w:rPr>
        <w:t>支出决算为13万元，完成预算100%，决算数等于预算数。</w:t>
      </w:r>
    </w:p>
    <w:p>
      <w:pPr>
        <w:spacing w:line="600" w:lineRule="exact"/>
        <w:ind w:firstLineChars="200" w:firstLine="640"/>
        <w:rPr>
          <w:rFonts w:ascii="仿宋_GB2312" w:eastAsia="仿宋_GB2312"/>
          <w:color w:val="000000"/>
          <w:sz w:val="32"/>
          <w:szCs w:val="32"/>
        </w:rPr>
      </w:pPr>
      <w:r>
        <w:rPr>
          <w:rStyle w:val="22"/>
          <w:rFonts w:ascii="仿宋_GB2312" w:eastAsia="仿宋_GB2312" w:hint="eastAsia"/>
          <w:color w:val="000000"/>
          <w:sz w:val="32"/>
          <w:szCs w:val="32"/>
        </w:rPr>
        <w:t>2129999城乡社区支出（类）其他城乡社区支出（款）其他城乡社区支出（项）：</w:t>
      </w:r>
      <w:r>
        <w:rPr>
          <w:rStyle w:val="22"/>
          <w:rFonts w:ascii="仿宋" w:eastAsia="仿宋" w:hint="eastAsia"/>
          <w:b w:val="0"/>
          <w:bCs/>
          <w:color w:val="000000"/>
          <w:sz w:val="32"/>
          <w:szCs w:val="32"/>
        </w:rPr>
        <w:t>支出决算为5万元，完成预算100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6.农林水支出：</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2130104农林水支出（类）农业（款）事业运行（项）：</w:t>
      </w:r>
      <w:r>
        <w:rPr>
          <w:rStyle w:val="22"/>
          <w:rFonts w:ascii="仿宋" w:eastAsia="仿宋" w:hint="eastAsia"/>
          <w:b w:val="0"/>
          <w:bCs/>
          <w:color w:val="000000"/>
          <w:sz w:val="32"/>
          <w:szCs w:val="32"/>
        </w:rPr>
        <w:t>支出决算为23.88万元，完成预算100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2130142农林水支出（类）农业（款）农村道路建设（项）：</w:t>
      </w:r>
      <w:r>
        <w:rPr>
          <w:rStyle w:val="22"/>
          <w:rFonts w:ascii="仿宋" w:eastAsia="仿宋" w:hint="eastAsia"/>
          <w:b w:val="0"/>
          <w:bCs/>
          <w:color w:val="000000"/>
          <w:sz w:val="32"/>
          <w:szCs w:val="32"/>
        </w:rPr>
        <w:t>支出决算为61万元，完成预算100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2130599 农林水支出（类）扶贫（款）其他扶贫支出（项）：</w:t>
      </w:r>
      <w:r>
        <w:rPr>
          <w:rStyle w:val="22"/>
          <w:rFonts w:ascii="仿宋" w:eastAsia="仿宋" w:hint="eastAsia"/>
          <w:b w:val="0"/>
          <w:bCs/>
          <w:color w:val="000000"/>
          <w:sz w:val="32"/>
          <w:szCs w:val="32"/>
        </w:rPr>
        <w:t>支出决算为6万元，完成预算100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2130602农林水支出（类）农业综合开发（款）土地治理（项）：</w:t>
      </w:r>
      <w:r>
        <w:rPr>
          <w:rStyle w:val="22"/>
          <w:rFonts w:ascii="仿宋" w:eastAsia="仿宋" w:hint="eastAsia"/>
          <w:b w:val="0"/>
          <w:bCs/>
          <w:color w:val="000000"/>
          <w:sz w:val="32"/>
          <w:szCs w:val="32"/>
        </w:rPr>
        <w:t>支出决算为10万元，完成预算100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2130603农林水支出（类）农业综合开发（款）产业化经营（项）：</w:t>
      </w:r>
      <w:r>
        <w:rPr>
          <w:rStyle w:val="22"/>
          <w:rFonts w:ascii="仿宋" w:eastAsia="仿宋" w:hint="eastAsia"/>
          <w:b w:val="0"/>
          <w:bCs/>
          <w:color w:val="000000"/>
          <w:sz w:val="32"/>
          <w:szCs w:val="32"/>
        </w:rPr>
        <w:t>支出决算为10万元，完成预算100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2130705 农林水支出（类）农村综合改革（款）对村民委员会和党支部的补助（项）：</w:t>
      </w:r>
      <w:r>
        <w:rPr>
          <w:rStyle w:val="22"/>
          <w:rFonts w:ascii="仿宋" w:eastAsia="仿宋" w:hint="eastAsia"/>
          <w:b w:val="0"/>
          <w:bCs/>
          <w:color w:val="000000"/>
          <w:sz w:val="32"/>
          <w:szCs w:val="32"/>
        </w:rPr>
        <w:t>支出决算为165.34万元，完成预算100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_GB2312" w:eastAsia="仿宋_GB2312"/>
          <w:color w:val="000000"/>
          <w:sz w:val="32"/>
          <w:szCs w:val="32"/>
        </w:rPr>
      </w:pPr>
      <w:r>
        <w:rPr>
          <w:rStyle w:val="22"/>
          <w:rFonts w:ascii="仿宋_GB2312" w:eastAsia="仿宋_GB2312" w:hint="eastAsia"/>
          <w:color w:val="000000"/>
          <w:sz w:val="32"/>
          <w:szCs w:val="32"/>
        </w:rPr>
        <w:t>2130707农林水支出（类）农村综合改革（款）农村综合示范试点补助（项）：</w:t>
      </w:r>
      <w:r>
        <w:rPr>
          <w:rStyle w:val="22"/>
          <w:rFonts w:ascii="仿宋" w:eastAsia="仿宋" w:hint="eastAsia"/>
          <w:b w:val="0"/>
          <w:bCs/>
          <w:color w:val="000000"/>
          <w:sz w:val="32"/>
          <w:szCs w:val="32"/>
        </w:rPr>
        <w:t>支出决算为57万元，完成预算100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578" w:lineRule="exact"/>
        <w:ind w:firstLineChars="200" w:firstLine="640"/>
        <w:rPr>
          <w:rStyle w:val="22"/>
          <w:rFonts w:ascii="仿宋_GB2312" w:eastAsia="仿宋_GB2312"/>
          <w:bCs/>
          <w:color w:val="000000"/>
          <w:sz w:val="32"/>
          <w:szCs w:val="32"/>
        </w:rPr>
      </w:pPr>
      <w:r>
        <w:rPr>
          <w:rStyle w:val="22"/>
          <w:rFonts w:ascii="仿宋_GB2312" w:eastAsia="仿宋_GB2312" w:hint="eastAsia"/>
          <w:bCs/>
          <w:color w:val="000000"/>
          <w:sz w:val="32"/>
          <w:szCs w:val="32"/>
        </w:rPr>
        <w:t>7.住房保障支出：</w:t>
      </w:r>
    </w:p>
    <w:p>
      <w:pPr>
        <w:spacing w:line="600" w:lineRule="exact"/>
        <w:ind w:firstLineChars="200" w:firstLine="640"/>
        <w:rPr>
          <w:rFonts w:ascii="仿宋" w:eastAsia="仿宋"/>
          <w:color w:val="000000"/>
          <w:sz w:val="32"/>
          <w:szCs w:val="32"/>
        </w:rPr>
      </w:pPr>
      <w:r>
        <w:rPr>
          <w:rStyle w:val="22"/>
          <w:rFonts w:ascii="仿宋_GB2312" w:eastAsia="仿宋_GB2312" w:hint="eastAsia"/>
          <w:bCs/>
          <w:color w:val="000000"/>
          <w:sz w:val="32"/>
          <w:szCs w:val="32"/>
        </w:rPr>
        <w:t>2210201住房保障支出（类）住房改革支出（款）住房公积金（项）</w:t>
      </w:r>
      <w:r>
        <w:rPr>
          <w:rStyle w:val="22"/>
          <w:rFonts w:ascii="仿宋_GB2312" w:eastAsia="仿宋_GB2312" w:hint="eastAsia"/>
          <w:color w:val="000000"/>
          <w:sz w:val="32"/>
          <w:szCs w:val="32"/>
        </w:rPr>
        <w:t>：</w:t>
      </w:r>
      <w:r>
        <w:rPr>
          <w:rStyle w:val="22"/>
          <w:rFonts w:ascii="仿宋" w:eastAsia="仿宋" w:hint="eastAsia"/>
          <w:b w:val="0"/>
          <w:bCs/>
          <w:color w:val="000000"/>
          <w:sz w:val="32"/>
          <w:szCs w:val="32"/>
        </w:rPr>
        <w:t>支出决算为27.26万元，完成预算100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1"/>
      <w:bookmarkEnd w:id="42"/>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8年一般公共预算财政拨款基本支出865.57万元，其中：</w:t>
      </w:r>
    </w:p>
    <w:p>
      <w:pPr>
        <w:spacing w:line="600" w:lineRule="exact"/>
        <w:ind w:firstLine="645"/>
        <w:rPr>
          <w:rFonts w:ascii="仿宋" w:eastAsia="仿宋"/>
          <w:color w:val="000000"/>
          <w:sz w:val="32"/>
          <w:szCs w:val="32"/>
        </w:rPr>
      </w:pPr>
      <w:r>
        <w:rPr>
          <w:rFonts w:ascii="仿宋" w:eastAsia="仿宋" w:hint="eastAsia"/>
          <w:color w:val="000000"/>
          <w:sz w:val="32"/>
          <w:szCs w:val="32"/>
        </w:rPr>
        <w:t>人员经费743.15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color w:val="000000"/>
          <w:sz w:val="32"/>
          <w:szCs w:val="32"/>
        </w:rPr>
        <w:br/>
      </w:r>
      <w:r>
        <w:rPr>
          <w:rFonts w:ascii="仿宋" w:eastAsia="仿宋" w:hint="eastAsia"/>
          <w:color w:val="000000"/>
          <w:sz w:val="32"/>
          <w:szCs w:val="32"/>
        </w:rPr>
        <w:t>　　公用经费125.42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43"/>
      <w:bookmarkEnd w:id="44"/>
    </w:p>
    <w:p>
      <w:pPr>
        <w:spacing w:line="600" w:lineRule="exact"/>
        <w:ind w:firstLine="640"/>
        <w:outlineLvl w:val="2"/>
        <w:rPr>
          <w:rFonts w:ascii="仿宋" w:eastAsia="仿宋"/>
          <w:b/>
          <w:color w:val="000000"/>
          <w:sz w:val="32"/>
          <w:szCs w:val="32"/>
        </w:rPr>
      </w:pPr>
      <w:bookmarkStart w:id="45" w:name="_Toc15377216"/>
      <w:r>
        <w:rPr>
          <w:rFonts w:ascii="仿宋" w:eastAsia="仿宋" w:hint="eastAsia"/>
          <w:b/>
          <w:color w:val="000000"/>
          <w:sz w:val="32"/>
          <w:szCs w:val="32"/>
        </w:rPr>
        <w:t>（一）“三公”经费财政拨款支出决算总体情况说明</w:t>
      </w:r>
      <w:bookmarkEnd w:id="45"/>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8年“三公”经费财政拨款支出决算为6.84万元，完成预算100</w:t>
      </w:r>
      <w:r>
        <w:rPr>
          <w:rFonts w:ascii="仿宋" w:eastAsia="仿宋"/>
          <w:color w:val="000000"/>
          <w:sz w:val="32"/>
          <w:szCs w:val="32"/>
        </w:rPr>
        <w:t>%</w:t>
      </w:r>
      <w:r>
        <w:rPr>
          <w:rFonts w:ascii="仿宋" w:eastAsia="仿宋" w:hint="eastAsia"/>
          <w:color w:val="000000"/>
          <w:sz w:val="32"/>
          <w:szCs w:val="32"/>
        </w:rPr>
        <w:t>，决算数与预算数持平。</w:t>
      </w:r>
    </w:p>
    <w:p>
      <w:pPr>
        <w:spacing w:line="600" w:lineRule="exact"/>
        <w:ind w:firstLine="640"/>
        <w:outlineLvl w:val="2"/>
        <w:rPr>
          <w:rFonts w:ascii="仿宋" w:eastAsia="仿宋"/>
          <w:b/>
          <w:color w:val="000000"/>
          <w:sz w:val="32"/>
          <w:szCs w:val="32"/>
        </w:rPr>
      </w:pPr>
      <w:bookmarkStart w:id="46" w:name="_Toc15377217"/>
      <w:r>
        <w:rPr>
          <w:rFonts w:ascii="仿宋" w:eastAsia="仿宋" w:hint="eastAsia"/>
          <w:b/>
          <w:color w:val="000000"/>
          <w:sz w:val="32"/>
          <w:szCs w:val="32"/>
        </w:rPr>
        <w:t>（二）“三公”经费财政拨款支出决算具体情况说明</w:t>
      </w:r>
      <w:bookmarkEnd w:id="46"/>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8年“三公”经费财政拨款支出决算中，因公出国（境）费支出决算0万元，占0</w:t>
      </w:r>
      <w:r>
        <w:rPr>
          <w:rFonts w:ascii="仿宋" w:eastAsia="仿宋"/>
          <w:color w:val="000000"/>
          <w:sz w:val="32"/>
          <w:szCs w:val="32"/>
        </w:rPr>
        <w:t>%</w:t>
      </w:r>
      <w:r>
        <w:rPr>
          <w:rFonts w:ascii="仿宋" w:eastAsia="仿宋" w:hint="eastAsia"/>
          <w:color w:val="000000"/>
          <w:sz w:val="32"/>
          <w:szCs w:val="32"/>
        </w:rPr>
        <w:t>；公务用车购置及运行维护费支出决算0万元，占0</w:t>
      </w:r>
      <w:r>
        <w:rPr>
          <w:rFonts w:ascii="仿宋" w:eastAsia="仿宋"/>
          <w:color w:val="000000"/>
          <w:sz w:val="32"/>
          <w:szCs w:val="32"/>
        </w:rPr>
        <w:t>%</w:t>
      </w:r>
      <w:r>
        <w:rPr>
          <w:rFonts w:ascii="仿宋" w:eastAsia="仿宋" w:hint="eastAsia"/>
          <w:color w:val="000000"/>
          <w:sz w:val="32"/>
          <w:szCs w:val="32"/>
        </w:rPr>
        <w:t>；公务接待费支出决算6.84万元，占100</w:t>
      </w:r>
      <w:r>
        <w:rPr>
          <w:rFonts w:ascii="仿宋" w:eastAsia="仿宋"/>
          <w:color w:val="000000"/>
          <w:sz w:val="32"/>
          <w:szCs w:val="32"/>
        </w:rPr>
        <w:t>%</w:t>
      </w:r>
      <w:r>
        <w:rPr>
          <w:rFonts w:ascii="仿宋" w:eastAsia="仿宋" w:hint="eastAsia"/>
          <w:color w:val="000000"/>
          <w:sz w:val="32"/>
          <w:szCs w:val="32"/>
        </w:rPr>
        <w:t>。具体情况如下：</w:t>
      </w:r>
    </w:p>
    <w:p>
      <w:pPr>
        <w:numPr>
          <w:ilvl w:val="0"/>
          <w:numId w:val="5"/>
        </w:numPr>
        <w:spacing w:line="600" w:lineRule="exact"/>
        <w:ind w:left="0" w:firstLine="640"/>
        <w:rPr>
          <w:rFonts w:ascii="仿宋_GB2312" w:eastAsia="仿宋_GB2312"/>
          <w:color w:val="000000"/>
          <w:sz w:val="32"/>
          <w:szCs w:val="32"/>
        </w:rPr>
      </w:pP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2"/>
          <w:rFonts w:ascii="仿宋" w:eastAsia="仿宋" w:hint="eastAsia"/>
          <w:b w:val="0"/>
          <w:bCs/>
          <w:color w:val="000000"/>
          <w:sz w:val="32"/>
          <w:szCs w:val="32"/>
        </w:rPr>
        <w:t>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r>
        <w:rPr>
          <w:rFonts w:ascii="仿宋_GB2312" w:eastAsia="仿宋_GB2312" w:hint="eastAsia"/>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22"/>
          <w:rFonts w:ascii="仿宋" w:eastAsia="仿宋" w:hint="eastAsia"/>
          <w:b w:val="0"/>
          <w:bCs/>
          <w:color w:val="000000"/>
          <w:sz w:val="32"/>
          <w:szCs w:val="32"/>
        </w:rPr>
        <w:t>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。年初无预算</w:t>
      </w:r>
      <w:r>
        <w:rPr>
          <w:rFonts w:ascii="仿宋_GB2312" w:eastAsia="仿宋_GB2312" w:hint="eastAsia"/>
          <w:color w:val="000000"/>
          <w:sz w:val="32"/>
          <w:szCs w:val="32"/>
        </w:rPr>
        <w:t>公务用车购置及运行维护费。</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月底，单位公务用车0辆。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6.84万元，</w:t>
      </w:r>
      <w:r>
        <w:rPr>
          <w:rStyle w:val="22"/>
          <w:rFonts w:ascii="仿宋" w:eastAsia="仿宋" w:hint="eastAsia"/>
          <w:b w:val="0"/>
          <w:bCs/>
          <w:color w:val="000000"/>
          <w:sz w:val="32"/>
          <w:szCs w:val="32"/>
        </w:rPr>
        <w:t>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7年减少0.36万元，下降5</w:t>
      </w:r>
      <w:r>
        <w:rPr>
          <w:rFonts w:ascii="仿宋_GB2312" w:eastAsia="仿宋_GB2312"/>
          <w:color w:val="000000"/>
          <w:sz w:val="32"/>
          <w:szCs w:val="32"/>
        </w:rPr>
        <w:t>%</w:t>
      </w:r>
      <w:r>
        <w:rPr>
          <w:rFonts w:ascii="仿宋_GB2312" w:eastAsia="仿宋_GB2312" w:hint="eastAsia"/>
          <w:color w:val="000000"/>
          <w:sz w:val="32"/>
          <w:szCs w:val="32"/>
        </w:rPr>
        <w:t>。主要原因是永进乡狠抓落实，对公务接待费用实行集体会签制，事前先由需接待部门的负责人、分管领导向主要领导请示，凡是接待一律在政府机关伙食团就餐，并严格控制接待标准和陪同人员，报销时必须同时有乡长和主管领导共同签字的公务接待就餐单、公函、及菜单，财政所才予以报销。。</w:t>
      </w:r>
    </w:p>
    <w:p>
      <w:pPr>
        <w:spacing w:line="600" w:lineRule="exact"/>
        <w:ind w:firstLine="640"/>
        <w:outlineLvl w:val="1"/>
        <w:rPr>
          <w:rFonts w:ascii="仿宋_GB2312" w:eastAsia="仿宋_GB2312"/>
          <w:color w:val="000000"/>
          <w:sz w:val="32"/>
          <w:szCs w:val="32"/>
        </w:rPr>
      </w:pPr>
      <w:bookmarkStart w:id="47" w:name="_Toc15377218"/>
      <w:bookmarkStart w:id="48" w:name="_Toc15396610"/>
      <w:r>
        <w:rPr>
          <w:rFonts w:ascii="仿宋_GB2312" w:eastAsia="仿宋_GB2312" w:hint="eastAsia"/>
          <w:color w:val="000000"/>
          <w:sz w:val="32"/>
          <w:szCs w:val="32"/>
        </w:rPr>
        <w:t>主要用于执行公务、开展业务活动开支的交通费、住宿费、用餐费等。国内公务接待149批次，1695人次（不包括陪同人员），共计支出6.84万元，具体内容包括：开展工作交流，迎检，脱贫攻坚巡查，上级工作指导等方面工作。其中：</w:t>
      </w:r>
    </w:p>
    <w:p>
      <w:pPr>
        <w:spacing w:line="600" w:lineRule="exact"/>
        <w:ind w:firstLine="640"/>
        <w:outlineLvl w:val="1"/>
        <w:rPr>
          <w:rFonts w:ascii="仿宋_GB2312" w:eastAsia="仿宋_GB2312"/>
          <w:color w:val="000000"/>
          <w:sz w:val="32"/>
          <w:szCs w:val="32"/>
        </w:rPr>
      </w:pPr>
      <w:r>
        <w:rPr>
          <w:rFonts w:ascii="仿宋_GB2312" w:eastAsia="仿宋_GB2312" w:hint="eastAsia"/>
          <w:color w:val="000000"/>
          <w:sz w:val="32"/>
          <w:szCs w:val="32"/>
        </w:rPr>
        <w:t>外事接待支出0元，外事接待0批次，0人，共计支出0万元。</w:t>
      </w:r>
    </w:p>
    <w:p>
      <w:pPr>
        <w:spacing w:line="600" w:lineRule="exact"/>
        <w:ind w:firstLine="640"/>
        <w:outlineLvl w:val="1"/>
        <w:rPr>
          <w:rFonts w:ascii="仿宋_GB2312" w:eastAsia="仿宋_GB2312"/>
          <w:color w:val="000000"/>
          <w:sz w:val="32"/>
          <w:szCs w:val="32"/>
        </w:rPr>
      </w:pPr>
      <w:r>
        <w:rPr>
          <w:rFonts w:ascii="仿宋_GB2312" w:eastAsia="仿宋_GB2312" w:hint="eastAsia"/>
          <w:color w:val="000000"/>
          <w:sz w:val="32"/>
          <w:szCs w:val="32"/>
        </w:rPr>
        <w:t>其他国内公务接待支出0万元。</w:t>
      </w:r>
    </w:p>
    <w:p>
      <w:pPr>
        <w:spacing w:line="600" w:lineRule="exact"/>
        <w:ind w:firstLine="640"/>
        <w:outlineLvl w:val="1"/>
        <w:rPr>
          <w:rStyle w:val="2Char"/>
          <w:rFonts w:ascii="黑体" w:eastAsia="黑体"/>
        </w:rPr>
      </w:pPr>
      <w:r>
        <w:rPr>
          <w:rFonts w:ascii="黑体" w:eastAsia="黑体" w:hint="eastAsia"/>
          <w:color w:val="000000"/>
          <w:sz w:val="32"/>
          <w:szCs w:val="32"/>
        </w:rPr>
        <w:t>八、</w:t>
      </w:r>
      <w:r>
        <w:rPr>
          <w:rStyle w:val="2Char"/>
          <w:rFonts w:ascii="黑体" w:eastAsia="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8年政府性基金预算拨款支出116万元。</w:t>
      </w:r>
    </w:p>
    <w:p>
      <w:pPr>
        <w:numPr>
          <w:ilvl w:val="0"/>
          <w:numId w:val="6"/>
        </w:numPr>
        <w:spacing w:line="600" w:lineRule="exact"/>
        <w:ind w:left="0" w:firstLine="640"/>
        <w:outlineLvl w:val="1"/>
        <w:rPr>
          <w:rStyle w:val="2Char"/>
          <w:rFonts w:ascii="黑体" w:eastAsia="黑体"/>
          <w:b w:val="0"/>
        </w:rPr>
      </w:pPr>
      <w:bookmarkStart w:id="49" w:name="_Toc15377219"/>
      <w:bookmarkStart w:id="50" w:name="_Toc15396611"/>
      <w:r>
        <w:rPr>
          <w:rStyle w:val="2Char"/>
          <w:rFonts w:ascii="黑体" w:eastAsia="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pPr>
        <w:pStyle w:val="28"/>
        <w:numPr>
          <w:ilvl w:val="0"/>
          <w:numId w:val="7"/>
        </w:numPr>
        <w:spacing w:line="580" w:lineRule="exact"/>
        <w:ind w:firstLineChars="0"/>
        <w:rPr>
          <w:rStyle w:val="2Char"/>
          <w:rFonts w:ascii="黑体" w:eastAsia="黑体"/>
          <w:b w:val="0"/>
        </w:rPr>
      </w:pPr>
      <w:r>
        <w:rPr>
          <w:rStyle w:val="2Char"/>
          <w:rFonts w:ascii="黑体" w:eastAsia="黑体" w:hint="eastAsia"/>
          <w:b w:val="0"/>
        </w:rPr>
        <w:t>预算绩效情况说明</w:t>
      </w:r>
    </w:p>
    <w:p>
      <w:pPr>
        <w:numPr>
          <w:ilvl w:val="0"/>
          <w:numId w:val="8"/>
        </w:numPr>
        <w:spacing w:line="580" w:lineRule="exact"/>
        <w:ind w:left="0" w:firstLineChars="200" w:firstLine="640"/>
        <w:rPr>
          <w:rFonts w:ascii="仿宋" w:eastAsia="仿宋" w:cs="楷体_GB2312"/>
          <w:b/>
          <w:bCs/>
          <w:sz w:val="32"/>
          <w:szCs w:val="32"/>
        </w:rPr>
      </w:pPr>
      <w:r>
        <w:rPr>
          <w:rFonts w:ascii="仿宋" w:eastAsia="仿宋" w:cs="楷体_GB2312" w:hint="eastAsia"/>
          <w:b/>
          <w:bCs/>
          <w:sz w:val="32"/>
          <w:szCs w:val="32"/>
        </w:rPr>
        <w:t>预算绩效管理工作开展情况。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总体看，我单位预算编制及执行决算较为准确，支出管理较为规范，财务管理制度较完善，部门整体绩效较好。部门支出绩效自评得分为96分。但也存在一些问题：一是项目进度缓慢，归档不及时。二是对项目工程及时跟进，确保项目工程完成，下一步改进措施：一是加快项目进度，二是及时对项目资料进行归档。</w:t>
      </w:r>
    </w:p>
    <w:p>
      <w:pPr>
        <w:spacing w:line="580" w:lineRule="exact"/>
        <w:ind w:firstLineChars="200" w:firstLine="640"/>
        <w:rPr>
          <w:rFonts w:ascii="仿宋_GB2312" w:eastAsia="仿宋_GB2312" w:cs="仿宋_GB2312"/>
          <w:sz w:val="32"/>
          <w:szCs w:val="32"/>
        </w:rPr>
      </w:pPr>
      <w:r>
        <w:rPr>
          <w:rFonts w:ascii="仿宋" w:eastAsia="仿宋" w:cs="楷体_GB2312" w:hint="eastAsia"/>
          <w:b/>
          <w:bCs/>
          <w:sz w:val="32"/>
          <w:szCs w:val="32"/>
        </w:rPr>
        <w:t>（二）项目绩效目标完成情况。</w:t>
      </w:r>
      <w:r>
        <w:rPr>
          <w:rFonts w:ascii="楷体_GB2312" w:eastAsia="楷体_GB2312" w:cs="楷体_GB2312" w:hint="eastAsia"/>
          <w:b/>
          <w:bCs/>
          <w:sz w:val="32"/>
          <w:szCs w:val="32"/>
        </w:rPr>
        <w:br/>
      </w:r>
      <w:r>
        <w:rPr>
          <w:rFonts w:ascii="仿宋_GB2312" w:eastAsia="仿宋_GB2312" w:cs="仿宋_GB2312" w:hint="eastAsia"/>
          <w:sz w:val="32"/>
          <w:szCs w:val="32"/>
        </w:rPr>
        <w:t>本部门在2018年度部门决算中反映财力保障等5个项目绩效目标实际完成情况：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财力保障化债项目绩效目标完成情况综述。项目全年预算数3.5万元，执行数为35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项目支出绩效目标完成情况表（1）</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永进乡2018年度财力保障化债项目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达州市达川区永进乡人民政府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分年逐批化解建设欠款，巩固基层组织建设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减少债务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减少乡村级债务情况3.5万元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已完成村级债务化解3.5万元</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帐务处理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做到公平、透明，不得出现新的债务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解决存在债务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促进社会和谐发展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解决实际债务提高经济。</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化解矛盾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已完成相关债务，达到目标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持续提供经济发展动力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财力保障环境综合治理项目绩效目标完成情况综述。项目全年预算数25万元，执行数为25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项目支出绩效目标完成情况表（2）</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永进乡2018年度财力保障环境综合治理项目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达州市达川区永进乡人民政府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推进环保节能治理，建立健全农村生活垃圾处理长效机制，深入开展环境污染和面源污染治理。</w:t>
              <w:tab/>
              <w:tab/>
              <w:tab/>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保洁工作、环境治理宣传活动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落实社区保洁员3名，各村保洁员1名、宣传标语不低于24幅，会议每月一次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已完成落实社区保洁员3名，各村保洁员1名、宣传标语不低于24幅，会议每月一次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卫生保洁、垃圾清运、车辆停放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做到场镇和村主要交通路干净，无污水，无垃圾。天天有人清扫做到垃圾日清，及时将垃圾运往佳境环保做无害化处理。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已完成做到场镇和村主要交通路干净，无污水，无垃圾。天天有人清扫做到垃圾日清，及时将垃圾运往佳境环保做无害化处理。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垃圾处置费用、保洁员工资、垃圾清运车费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投资环境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为外来投资商创建一个干净、整治的投资环境，提升五四招商引资能力。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环境卫生整治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改善人居环境，提升群众幸福生活指数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改善了群众的人居环境，提升了幸福生活 指数。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垃圾日清，迅速处置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做到了垃圾日清，垃圾池周清。</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促进了全乡环境整治的发展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社会满意度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财力保障项促进发展项目绩效目标完成情况综述。项目全年预算数10万元，执行数为10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项目支出绩效目标完成情况表（3）</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永进乡2018年度财力保障促发展项目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达州市达川区永进乡人民政府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86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加大村级基础设施建设投入，改善农村基础设施状况，修建水利、道路，增强农村经济发展实力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82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解决800余人出行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已完成涉及1024人的出行问题</w:t>
            </w:r>
          </w:p>
        </w:tc>
      </w:tr>
      <w:tr>
        <w:trPr>
          <w:trHeight w:val="110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工程标准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严格按照工程标准执行，以监理单位验收质量为准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材料采购、人工费用、其他费用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为经济发展提供基础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改善出行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道路建设规划合理，不能以牺牲环保为代价。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将持续为该村提供经济发展动力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left="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财力保障项安全生产监管项目绩效目标完成情况综述。项目全年预算数5万元，执行数为5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项目支出绩效目标完成情况表（4）</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财力保障-保运行-安全生产监管经费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达州市达川区永进乡人民政府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学习宣传教育活动、开展打非治违和专项整治、专项排查，重点领域整治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12次以上、6次以上、每月1次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已完成排查12次以上、已完成宣传教育活动6次以上、对重点领域每月1次排查。</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责任落实、加大宣传、狠抓整治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已完成责任体系、每月召开一次安全专项会议、每月排查一次安全隐患，对隐患进行定人定责定时整改</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差旅费标准、会议培训会标准、宣传费用标准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安全零事故，为经济保驾护航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以安全生产为主要目标，防范各类事故发生，减少各类经济成本，确保经济稳步发展。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完成安全生产为主要目标，防范各类事故发生，减少各类经济成本，确保经济稳步发展。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有效防范和遏制各项事故发生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为企业、群众提供一个安全的生产生活环境，保障人民群众生活财产安全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不得破坏生态和损害环境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长期保障工作平稳进行展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财力保障信访、维稳、扫黄、除黑、禁毒资金项目绩效目标完成情况综述。项目全年预算数4万元，执行数为4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项目支出绩效目标完成情况表（5）</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永进乡2018年度信访、维稳、扫黄、除黑、禁毒资金资金项目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达州市达川区永进乡人民政府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解决群众合理诉求，，打击黄、赌、毒，扫清黑恶势力，为人民群众塑造一个安定、和谐、稳定的社会环境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开展教育宣传活动、组织专项行动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已完成全年开展了宣传活动12次，组织专项行动4次。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合理诉求、扫黑除恶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及时处理，上报，将矛盾化解在萌芽状态。及时上报线索，配合民警开展工作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差旅费标准、会议培训会标准、会议培训会标准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经济投资环境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营造良好社会风气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14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已保障工作平稳进行</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 w:eastAsia="仿宋" w:cs="楷体_GB2312"/>
          <w:b/>
          <w:bCs/>
          <w:sz w:val="32"/>
          <w:szCs w:val="32"/>
        </w:rPr>
      </w:pPr>
      <w:bookmarkStart w:id="51" w:name="_Toc15377221"/>
      <w:bookmarkStart w:id="52" w:name="_Toc15396612"/>
    </w:p>
    <w:p>
      <w:pPr>
        <w:spacing w:line="580" w:lineRule="exact"/>
        <w:ind w:firstLineChars="200" w:firstLine="640"/>
        <w:rPr>
          <w:rFonts w:ascii="仿宋" w:eastAsia="仿宋" w:cs="仿宋_GB2312"/>
          <w:sz w:val="32"/>
          <w:szCs w:val="32"/>
        </w:rPr>
      </w:pPr>
      <w:r>
        <w:rPr>
          <w:rFonts w:ascii="仿宋" w:eastAsia="仿宋" w:cs="楷体_GB2312" w:hint="eastAsia"/>
          <w:b/>
          <w:bCs/>
          <w:sz w:val="32"/>
          <w:szCs w:val="32"/>
        </w:rPr>
        <w:t>（三）部门开展绩效评价结果。</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本部门按要求对2018年部门整体支出绩效评价情况开展自评，《达川区永进乡部门2018年部门整体支出绩效评价报告》见附件。</w:t>
      </w:r>
    </w:p>
    <w:p>
      <w:pPr>
        <w:spacing w:line="600" w:lineRule="exact"/>
        <w:ind w:firstLineChars="250" w:firstLine="800"/>
        <w:outlineLvl w:val="1"/>
        <w:rPr>
          <w:rFonts w:ascii="黑体" w:eastAsia="黑体"/>
          <w:color w:val="000000"/>
          <w:sz w:val="32"/>
          <w:szCs w:val="32"/>
        </w:rPr>
      </w:pPr>
      <w:r>
        <w:rPr>
          <w:rFonts w:ascii="仿宋_GB2312" w:eastAsia="仿宋_GB2312" w:cs="仿宋_GB2312" w:hint="eastAsia"/>
          <w:sz w:val="32"/>
          <w:szCs w:val="32"/>
        </w:rPr>
        <w:t>本部门自行组织对财力保障项目开展了绩效评价，《永进乡2018项目年绩效评价报告》见附件。</w:t>
      </w:r>
    </w:p>
    <w:p>
      <w:pPr>
        <w:spacing w:line="600" w:lineRule="exact"/>
        <w:ind w:firstLineChars="250" w:firstLine="800"/>
        <w:outlineLvl w:val="1"/>
        <w:rPr>
          <w:rStyle w:val="2Char"/>
          <w:rFonts w:ascii="黑体" w:eastAsia="黑体"/>
        </w:rPr>
      </w:pPr>
      <w:r>
        <w:rPr>
          <w:rFonts w:ascii="黑体" w:eastAsia="黑体" w:hint="eastAsia"/>
          <w:color w:val="000000"/>
          <w:sz w:val="32"/>
          <w:szCs w:val="32"/>
        </w:rPr>
        <w:t>十</w:t>
      </w:r>
      <w:r>
        <w:rPr>
          <w:rStyle w:val="2Char"/>
          <w:rFonts w:ascii="黑体" w:eastAsia="黑体" w:hint="eastAsia"/>
        </w:rPr>
        <w:t>一、</w:t>
      </w:r>
      <w:r>
        <w:rPr>
          <w:rStyle w:val="2Char"/>
          <w:rFonts w:ascii="黑体" w:eastAsia="黑体" w:hint="eastAsia"/>
          <w:b w:val="0"/>
        </w:rPr>
        <w:t>其他重要事项的情况说明</w:t>
      </w:r>
      <w:bookmarkEnd w:id="51"/>
      <w:bookmarkEnd w:id="52"/>
    </w:p>
    <w:p>
      <w:pPr>
        <w:spacing w:line="600" w:lineRule="exact"/>
        <w:ind w:firstLineChars="200" w:firstLine="640"/>
        <w:outlineLvl w:val="2"/>
        <w:rPr>
          <w:rFonts w:ascii="仿宋" w:eastAsia="仿宋"/>
          <w:color w:val="000000"/>
          <w:sz w:val="32"/>
          <w:szCs w:val="32"/>
        </w:rPr>
      </w:pPr>
      <w:bookmarkStart w:id="53" w:name="_Toc15377222"/>
      <w:r>
        <w:rPr>
          <w:rFonts w:ascii="仿宋" w:eastAsia="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8年，达州市达川区永进乡人民政府机关运行经费支出125.42万元，比</w:t>
      </w:r>
      <w:r>
        <w:rPr>
          <w:rFonts w:ascii="仿宋_GB2312" w:eastAsia="仿宋_GB2312"/>
          <w:color w:val="000000"/>
          <w:sz w:val="32"/>
          <w:szCs w:val="32"/>
        </w:rPr>
        <w:t>201</w:t>
      </w:r>
      <w:r>
        <w:rPr>
          <w:rFonts w:ascii="仿宋_GB2312" w:eastAsia="仿宋_GB2312" w:hint="eastAsia"/>
          <w:color w:val="000000"/>
          <w:sz w:val="32"/>
          <w:szCs w:val="32"/>
        </w:rPr>
        <w:t>7年减少50.71万元，下降28.79</w:t>
      </w:r>
      <w:r>
        <w:rPr>
          <w:rFonts w:ascii="仿宋_GB2312" w:eastAsia="仿宋_GB2312"/>
          <w:color w:val="000000"/>
          <w:sz w:val="32"/>
          <w:szCs w:val="32"/>
        </w:rPr>
        <w:t>%</w:t>
      </w:r>
      <w:r>
        <w:rPr>
          <w:rFonts w:ascii="仿宋_GB2312" w:eastAsia="仿宋_GB2312" w:hint="eastAsia"/>
          <w:color w:val="000000"/>
          <w:sz w:val="32"/>
          <w:szCs w:val="32"/>
        </w:rPr>
        <w:t>。主要原因是加大了机关运行的管理，严格节约开支。</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4" w:name="_Toc15377223"/>
      <w:r>
        <w:rPr>
          <w:rFonts w:ascii="仿宋" w:eastAsia="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8年，达州市达川区永进乡人民政府采购支出总额2.29万元，其中：政府采购货物支出2.29万元、政府采购工程支出0万元、政府采购服务支出0万元。主要用于2018年政府日常办公设备的购置。</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5" w:name="_Toc15377224"/>
      <w:r>
        <w:rPr>
          <w:rFonts w:ascii="仿宋" w:eastAsia="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永进乡共有车辆1辆，其中：部级领导干部用车0辆、一般公务用车0辆、一般执法执勤用车0辆、特种专业技术用车0辆、其他用车1辆，其他用车主要是用于场镇垃圾清理用车，但本单位未使用，故未产生公务车运行维护费。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spacing w:line="600" w:lineRule="exact"/>
        <w:outlineLvl w:val="0"/>
        <w:rPr>
          <w:rFonts w:ascii="黑体" w:eastAsia="黑体"/>
          <w:b/>
          <w:color w:val="000000"/>
          <w:sz w:val="44"/>
          <w:szCs w:val="44"/>
        </w:rPr>
      </w:pPr>
      <w:bookmarkStart w:id="56" w:name="_Toc15396613"/>
      <w:bookmarkStart w:id="57" w:name="_Toc15377225"/>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outlineLvl w:val="0"/>
        <w:rPr>
          <w:rFonts w:ascii="黑体" w:eastAsia="黑体"/>
          <w:b/>
          <w:color w:val="000000"/>
          <w:sz w:val="44"/>
          <w:szCs w:val="44"/>
        </w:rPr>
      </w:pPr>
    </w:p>
    <w:p>
      <w:pPr>
        <w:spacing w:line="600" w:lineRule="exact"/>
        <w:jc w:val="center"/>
        <w:outlineLvl w:val="0"/>
        <w:rPr>
          <w:rFonts w:ascii="宋体"/>
          <w:b/>
          <w:color w:val="000000"/>
          <w:sz w:val="44"/>
          <w:szCs w:val="44"/>
        </w:rPr>
      </w:pPr>
      <w:r>
        <w:rPr>
          <w:rFonts w:ascii="黑体" w:eastAsia="黑体" w:hint="eastAsia"/>
          <w:b/>
          <w:color w:val="000000"/>
          <w:sz w:val="44"/>
          <w:szCs w:val="44"/>
        </w:rPr>
        <w:t>第三部分名</w:t>
      </w:r>
      <w:r>
        <w:rPr>
          <w:rStyle w:val="1Char"/>
          <w:rFonts w:ascii="黑体" w:eastAsia="黑体" w:hint="eastAsia"/>
          <w:b w:val="0"/>
        </w:rPr>
        <w:t>词解释</w:t>
      </w:r>
      <w:bookmarkEnd w:id="56"/>
      <w:bookmarkEnd w:id="57"/>
    </w:p>
    <w:p>
      <w:pPr>
        <w:spacing w:line="600" w:lineRule="exact"/>
        <w:ind w:firstLineChars="200" w:firstLine="640"/>
        <w:jc w:val="left"/>
        <w:outlineLvl w:val="0"/>
        <w:rPr>
          <w:rFonts w:ascii="仿宋_GB2312" w:eastAsia="仿宋_GB2312"/>
          <w:sz w:val="32"/>
          <w:szCs w:val="32"/>
        </w:rPr>
      </w:pPr>
      <w:bookmarkStart w:id="58" w:name="_Toc15377226"/>
      <w:r>
        <w:rPr>
          <w:rFonts w:ascii="仿宋_GB2312" w:eastAsia="仿宋_GB2312" w:hint="eastAsia"/>
          <w:sz w:val="32"/>
          <w:szCs w:val="32"/>
        </w:rPr>
        <w:t>1、财政拨款收入：指区级财政当年拨付的资金。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2、一般公共服务（类）政府办公厅（室）及相关机构事务（款）行政运行（项）：反映行政单位（包括实行公务员管理的事业单位）的基本支出。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 一般公共服务支出（类）政府办公厅（室）及相关机构事务（款）一般行政管理事务（项）：反应行政单位行政管理事物方面的支出。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4、一般公共服务（类）财政事务（款）行政运行（项）：反映财政方面的支出。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5、一般公共服务支出（类）纪检监察事务（款）其他纪检监察事务支出（项）：反应本单位纪检监察相关事物支出。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6、文化体育与传媒支出（类）文化（款）群众文化（项）：反映群众文化方面的支出，包括基层文化馆（站）、群众艺术馆支出等。</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7、文化体育与传媒支出（类）新闻出版广播影视（款）广播（项）：反映广播系统职工工资及影视方面的支出。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8、社会保障和就业支出（类）行政事业单位离退休（款）  机关事业单位基本养老保险缴费支出★（项）：反映机关事业单位基本养老保险缴费。</w:t>
      </w:r>
    </w:p>
    <w:p>
      <w:pPr>
        <w:spacing w:line="600" w:lineRule="exact"/>
        <w:ind w:firstLineChars="200" w:firstLine="640"/>
        <w:rPr>
          <w:rStyle w:val="22"/>
          <w:rFonts w:ascii="仿宋" w:eastAsia="仿宋"/>
          <w:b w:val="0"/>
          <w:bCs/>
          <w:color w:val="000000"/>
          <w:sz w:val="32"/>
          <w:szCs w:val="32"/>
        </w:rPr>
      </w:pPr>
      <w:r>
        <w:rPr>
          <w:rFonts w:ascii="仿宋_GB2312" w:eastAsia="仿宋_GB2312" w:hint="eastAsia"/>
          <w:sz w:val="32"/>
          <w:szCs w:val="32"/>
        </w:rPr>
        <w:t>9、社会保障和就业支出（类）行政事业单位离退休（款）机关事业单位职业年金缴费支出★（项）：反应机关事业</w:t>
      </w:r>
      <w:r>
        <w:rPr>
          <w:rStyle w:val="22"/>
          <w:rFonts w:ascii="仿宋" w:eastAsia="仿宋" w:hint="eastAsia"/>
          <w:b w:val="0"/>
          <w:bCs/>
          <w:color w:val="000000"/>
          <w:sz w:val="32"/>
          <w:szCs w:val="32"/>
        </w:rPr>
        <w:t>单位职业年金单位部分缴费情况。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10社会保障和就业支出（类）抚恤（款）死亡抚恤（项）反应机关事业单位职工死亡抚恤金安葬费等情况。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11、社会保障和就业支出（类）抚恤（款）在乡复员、退伍军人生活补助（项）：反映复员、退伍军人领取的生活补助等方面的支出。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12、社会保障和就业支出（类）残疾人事业（款）其他残疾人事业支出（项）：主要反应残疾人专职委员相关工资福利费开支。</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13、社会保障和就业支出（类）抚恤（款）义务兵优待（项）：反映义务兵优待方面的支出。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14、社会保障和就业支出（类）特困人员救助供养★（款）农村特困人员救助供养支出★（项）：反映用于城乡五保人员的生活补助支出。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15、医疗卫生与计划生育支出（类）计划生育事务（款）计划生育机构（项）：反映卫生和计划生育部门所属计划生育机构的支出。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16、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17、医疗卫生与计划生育支出（类）行政事业单位医疗（款）事业单位医疗（项）：反映财政部门集中安排的事业单位的公费医疗经费，按国家规定享受离休人员待遇的医疗经费。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18、医疗卫生与计划生育支出（类）行政事业单位医疗（款）公务员医疗补助★（项）：主要反映本单位公务员医疗补助缴费的情况。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19、医疗卫生与计划生育支出（类）计划生育事务（款）其他计划生育事物支出（项）：反应计划生育机构事业单位部门等发生的支出。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20、城乡社区支出（类）城乡社区环境卫生（款）  城乡社区环境卫生（项）：主要反映本单位辖区城乡社区环境整治等费用支出。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21、城乡社区支出（类）国有土地使用权出让收入及对应专项债务收入安排的支出（款）其他国有土地使用权出让收入安排的支出（项）：反映一事一议等安排与社区建设发展的其他支出。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22、城乡社区支出（类）其他城乡社区支出（款）其他城乡社区支出（项）：反应城乡社区其他方面支出。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23、农林水支出（类）农业（款）事业运行（项）：反映用于农业事业单位基本支出，事业单位设施、系统运行与资产维护等方面的支出。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24、农林水支出（类）农业（款）农村道路建设（项）：反映对农村道路建设的补助支出。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25、农林水支出（类）扶贫（款）其他扶贫支出（项）：反映用于农村脱贫攻坚中的支出。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26、农林水支出（类）农业综合开发（款）产业化经营（项）：支出决算为10万元，主要反映农村产业发展的补助支出。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27、农林水支出（类）农村综合改革（款）对村级一事一议的补助（项）：反映农村对村级一事一议财政奖补情况的支出。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28、农林水支出（类）农村综合改革（款）对村民委员会和村支部的补助（项）：反映各级财政对村民委员会和村党支部的补助支出。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29、住房保障支出（类）住房改革支出（款）  住房公积金（项）：反映用于本乡职工住房公积金缴存等支出。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30、其他支出（类）彩票公益金及对应专项债务收入安排的支出（款）用于体育事业的彩票公益金支出（项）：反映用于本乡维修维护支出。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31、结余分配：指事业单位按规定提取的职工福利基金、事业基金和缴纳的所得税，以及建设单位按规定应交回的基本建设竣工项目结余资金。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32、年末结转和结余：指本年度或以前年度预算安排、因客观条件发生变化无法按原计划实施，需延迟到以后年度按有关规定继续使用的资金。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33、基本支出：指为保障机构正常运转、完成日常工作任务而发生的人员支出和公用支出。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34、项目支出：指在基本支出之外为完成特定行政任务和事业发展目标所发生的支出。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35、经营支出：指事业单位在专业业务活动及其辅助活动之外开展非独立核算经营活动发生的支出。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36、“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Chars="200" w:firstLine="880"/>
        <w:jc w:val="center"/>
        <w:outlineLvl w:val="0"/>
        <w:rPr>
          <w:rStyle w:val="1Char"/>
          <w:rFonts w:ascii="黑体" w:eastAsia="黑体"/>
          <w:b w:val="0"/>
        </w:rPr>
      </w:pPr>
      <w:r>
        <w:rPr>
          <w:rFonts w:ascii="宋体"/>
          <w:b/>
          <w:color w:val="000000"/>
          <w:sz w:val="44"/>
          <w:szCs w:val="44"/>
        </w:rPr>
        <w:br w:type="page"/>
      </w:r>
      <w:bookmarkStart w:id="59" w:name="_Toc15396614"/>
      <w:r>
        <w:rPr>
          <w:rFonts w:ascii="黑体" w:eastAsia="黑体" w:hint="eastAsia"/>
          <w:color w:val="000000"/>
          <w:sz w:val="44"/>
          <w:szCs w:val="44"/>
        </w:rPr>
        <w:t>第</w:t>
      </w:r>
      <w:r>
        <w:rPr>
          <w:rStyle w:val="1Char"/>
          <w:rFonts w:ascii="黑体" w:eastAsia="黑体" w:hint="eastAsia"/>
          <w:b w:val="0"/>
        </w:rPr>
        <w:t>四部分 附件</w:t>
      </w:r>
      <w:bookmarkEnd w:id="59"/>
    </w:p>
    <w:p>
      <w:pPr>
        <w:spacing w:line="600" w:lineRule="exact"/>
        <w:jc w:val="center"/>
        <w:outlineLvl w:val="0"/>
        <w:rPr>
          <w:rStyle w:val="1Char"/>
        </w:rPr>
      </w:pPr>
    </w:p>
    <w:p>
      <w:pPr>
        <w:pStyle w:val="2"/>
        <w:rPr>
          <w:rStyle w:val="1Char"/>
          <w:rFonts w:ascii="仿宋" w:eastAsia="仿宋"/>
          <w:sz w:val="32"/>
          <w:szCs w:val="32"/>
        </w:rPr>
      </w:pPr>
      <w:bookmarkStart w:id="60" w:name="_Toc15396615"/>
      <w:r>
        <w:rPr>
          <w:rStyle w:val="1Char"/>
          <w:rFonts w:ascii="仿宋" w:eastAsia="仿宋" w:hint="eastAsia"/>
          <w:sz w:val="32"/>
          <w:szCs w:val="32"/>
        </w:rPr>
        <w:t>附件1</w:t>
      </w:r>
      <w:bookmarkEnd w:id="60"/>
    </w:p>
    <w:p>
      <w:pPr>
        <w:spacing w:line="600" w:lineRule="exact"/>
        <w:jc w:val="center"/>
        <w:outlineLvl w:val="0"/>
        <w:rPr>
          <w:rFonts w:ascii="黑体" w:eastAsia="黑体" w:cs="方正小标宋简体"/>
          <w:sz w:val="36"/>
          <w:szCs w:val="36"/>
        </w:rPr>
      </w:pPr>
      <w:bookmarkStart w:id="61" w:name="_Toc15396616"/>
      <w:r>
        <w:rPr>
          <w:rFonts w:ascii="黑体" w:eastAsia="黑体" w:cs="方正小标宋简体" w:hint="eastAsia"/>
          <w:sz w:val="36"/>
          <w:szCs w:val="36"/>
        </w:rPr>
        <w:t>永进乡部门2018年部门整体支出绩效评价报告</w:t>
      </w:r>
      <w:bookmarkEnd w:id="61"/>
    </w:p>
    <w:p>
      <w:pPr>
        <w:spacing w:line="580" w:lineRule="exact"/>
        <w:ind w:firstLineChars="200" w:firstLine="640"/>
        <w:rPr>
          <w:rFonts w:ascii="黑体" w:eastAsia="黑体" w:cs="黑体"/>
          <w:sz w:val="32"/>
          <w:szCs w:val="32"/>
        </w:rPr>
      </w:pPr>
    </w:p>
    <w:p>
      <w:pPr>
        <w:spacing w:line="580" w:lineRule="exact"/>
        <w:ind w:firstLineChars="200" w:firstLine="640"/>
        <w:rPr>
          <w:rFonts w:ascii="黑体" w:eastAsia="黑体" w:cs="黑体"/>
          <w:sz w:val="32"/>
          <w:szCs w:val="32"/>
        </w:rPr>
      </w:pPr>
      <w:r>
        <w:rPr>
          <w:rFonts w:ascii="黑体" w:eastAsia="黑体" w:cs="黑体" w:hint="eastAsia"/>
          <w:sz w:val="32"/>
          <w:szCs w:val="32"/>
        </w:rPr>
        <w:t>一、部门（单位）概况</w:t>
      </w:r>
    </w:p>
    <w:p>
      <w:pPr>
        <w:spacing w:line="580" w:lineRule="exact"/>
        <w:ind w:firstLineChars="200" w:firstLine="640"/>
        <w:rPr>
          <w:rFonts w:ascii="仿宋" w:eastAsia="仿宋" w:cs="仿宋_GB2312"/>
          <w:color w:val="000000"/>
          <w:sz w:val="32"/>
          <w:szCs w:val="32"/>
        </w:rPr>
      </w:pPr>
      <w:r>
        <w:rPr>
          <w:rFonts w:ascii="仿宋" w:eastAsia="仿宋" w:cs="仿宋_GB2312" w:hint="eastAsia"/>
          <w:sz w:val="32"/>
          <w:szCs w:val="32"/>
        </w:rPr>
        <w:t>永进乡政府位于达川区西北部，幅员面积31平方公里，总人口15185人（其中农业人口12506人），</w:t>
      </w:r>
      <w:r>
        <w:rPr>
          <w:rFonts w:ascii="仿宋" w:eastAsia="仿宋" w:cs="仿宋_GB2312"/>
          <w:sz w:val="32"/>
          <w:szCs w:val="32"/>
        </w:rPr>
        <w:t>辖8个行政村1个农村社区和1个街道居委会，</w:t>
      </w:r>
      <w:r>
        <w:rPr>
          <w:rFonts w:ascii="仿宋" w:eastAsia="仿宋" w:cs="仿宋_GB2312"/>
          <w:bCs/>
          <w:sz w:val="32"/>
          <w:szCs w:val="32"/>
        </w:rPr>
        <w:t>43个农业合作社</w:t>
      </w:r>
      <w:r>
        <w:rPr>
          <w:rFonts w:ascii="仿宋" w:eastAsia="仿宋" w:cs="仿宋_GB2312" w:hint="eastAsia"/>
          <w:sz w:val="32"/>
          <w:szCs w:val="32"/>
        </w:rPr>
        <w:t>。永进乡</w:t>
      </w:r>
      <w:r>
        <w:rPr>
          <w:rFonts w:ascii="仿宋" w:eastAsia="仿宋" w:cs="仿宋_GB2312"/>
          <w:bCs/>
          <w:sz w:val="32"/>
          <w:szCs w:val="32"/>
        </w:rPr>
        <w:t>耕地面积11000亩，林地面积14000亩，水域面积2332亩，</w:t>
      </w:r>
      <w:r>
        <w:rPr>
          <w:rFonts w:ascii="仿宋" w:eastAsia="仿宋" w:cs="仿宋_GB2312" w:hint="eastAsia"/>
          <w:sz w:val="32"/>
          <w:szCs w:val="32"/>
        </w:rPr>
        <w:t>农业经济主要以种植、养殖业为主。</w:t>
      </w:r>
    </w:p>
    <w:p>
      <w:pPr>
        <w:spacing w:line="580" w:lineRule="exact"/>
        <w:ind w:firstLineChars="200" w:firstLine="640"/>
        <w:rPr>
          <w:rFonts w:ascii="仿宋" w:eastAsia="仿宋" w:cs="仿宋_GB2312"/>
          <w:sz w:val="32"/>
          <w:szCs w:val="32"/>
        </w:rPr>
      </w:pPr>
      <w:r>
        <w:rPr>
          <w:rFonts w:ascii="仿宋" w:eastAsia="仿宋" w:cs="仿宋_GB2312"/>
          <w:sz w:val="32"/>
          <w:szCs w:val="32"/>
        </w:rPr>
        <w:t>（一）机构组成。</w:t>
      </w:r>
    </w:p>
    <w:p>
      <w:pPr>
        <w:pStyle w:val="15"/>
        <w:adjustRightInd w:val="0"/>
        <w:snapToGrid w:val="0"/>
        <w:spacing w:beforeLines="0" w:before="93" w:line="578" w:lineRule="exact"/>
        <w:ind w:firstLineChars="209" w:firstLine="672"/>
        <w:rPr>
          <w:rFonts w:ascii="仿宋" w:eastAsia="仿宋" w:cs="仿宋_GB2312"/>
          <w:sz w:val="32"/>
          <w:szCs w:val="32"/>
        </w:rPr>
      </w:pPr>
      <w:r>
        <w:rPr>
          <w:rFonts w:hint="eastAsia"/>
          <w:sz w:val="32"/>
          <w:szCs w:val="32"/>
        </w:rPr>
        <w:t>永进乡下属二级单位4个，其中行政单位1个，其他事业单位3个。</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机构职能。</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永进乡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永进乡经济发展、改善人民生活、保持农村社会稳定、偿还乡镇和村级债务、搞好场镇建设和加快新农村基础设施建设工作。</w:t>
      </w:r>
    </w:p>
    <w:p>
      <w:pPr>
        <w:spacing w:line="580" w:lineRule="exact"/>
        <w:ind w:leftChars="200" w:left="420"/>
        <w:rPr>
          <w:rFonts w:ascii="仿宋" w:eastAsia="仿宋" w:cs="仿宋_GB2312"/>
          <w:sz w:val="32"/>
          <w:szCs w:val="32"/>
        </w:rPr>
      </w:pPr>
      <w:r>
        <w:rPr>
          <w:rFonts w:ascii="仿宋" w:eastAsia="仿宋" w:cs="仿宋_GB2312" w:hint="eastAsia"/>
          <w:sz w:val="32"/>
          <w:szCs w:val="32"/>
        </w:rPr>
        <w:t>（三）</w:t>
      </w:r>
      <w:r>
        <w:rPr>
          <w:rFonts w:ascii="仿宋" w:eastAsia="仿宋" w:cs="仿宋_GB2312"/>
          <w:sz w:val="32"/>
          <w:szCs w:val="32"/>
        </w:rPr>
        <w:t>人员概况。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永进乡编制人数31人，其中行政编制19人(含工勤3人)，事业编制12人；2018年末实有人数26人，其中公共预算财政拨款人数16人，公共预算财政补助开支人数10人。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（一）部门财政资金收入情况。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2018年本年收入合计1226.24万元，其中：一般公共预算财政拨款收入1110.24万元，占90.54%；政府性基金预算财政拨款收入116万元，占9.46%；国有资本经营预算财政拨款收入0万元，占0%；事业收入0万元，占0%；经营收入0万元，占0%；附属单位上缴收入0万元，占0%；其他收入0万元，占0%。</w:t>
      </w:r>
    </w:p>
    <w:p>
      <w:pPr>
        <w:numPr>
          <w:ilvl w:val="0"/>
          <w:numId w:val="8"/>
        </w:numPr>
        <w:spacing w:line="580" w:lineRule="exact"/>
        <w:ind w:left="0" w:firstLineChars="200" w:firstLine="640"/>
        <w:rPr>
          <w:rFonts w:ascii="仿宋" w:eastAsia="仿宋" w:cs="仿宋_GB2312"/>
          <w:sz w:val="32"/>
          <w:szCs w:val="32"/>
        </w:rPr>
      </w:pPr>
      <w:r>
        <w:rPr>
          <w:rFonts w:ascii="仿宋" w:eastAsia="仿宋" w:cs="仿宋_GB2312"/>
          <w:sz w:val="32"/>
          <w:szCs w:val="32"/>
        </w:rPr>
        <w:t>部门财政资金支出情况。</w:t>
      </w:r>
    </w:p>
    <w:p>
      <w:pPr>
        <w:spacing w:line="600" w:lineRule="exact"/>
        <w:ind w:firstLine="640"/>
        <w:rPr>
          <w:rFonts w:ascii="仿宋" w:eastAsia="仿宋" w:cs="仿宋_GB2312"/>
          <w:sz w:val="32"/>
          <w:szCs w:val="32"/>
        </w:rPr>
      </w:pPr>
      <w:r>
        <w:rPr>
          <w:rFonts w:ascii="仿宋" w:eastAsia="仿宋"/>
          <w:color w:val="000000"/>
          <w:sz w:val="32"/>
          <w:szCs w:val="32"/>
        </w:rPr>
        <w:t>201</w:t>
      </w:r>
      <w:r>
        <w:rPr>
          <w:rFonts w:ascii="仿宋" w:eastAsia="仿宋" w:hint="eastAsia"/>
          <w:color w:val="000000"/>
          <w:sz w:val="32"/>
          <w:szCs w:val="32"/>
        </w:rPr>
        <w:t>8年本年支出合计1226.24万元，其中：基本支出868.57万元，占70.83</w:t>
      </w:r>
      <w:r>
        <w:rPr>
          <w:rFonts w:ascii="仿宋" w:eastAsia="仿宋"/>
          <w:color w:val="000000"/>
          <w:sz w:val="32"/>
          <w:szCs w:val="32"/>
        </w:rPr>
        <w:t>%</w:t>
      </w:r>
      <w:r>
        <w:rPr>
          <w:rFonts w:ascii="仿宋" w:eastAsia="仿宋" w:hint="eastAsia"/>
          <w:color w:val="000000"/>
          <w:sz w:val="32"/>
          <w:szCs w:val="32"/>
        </w:rPr>
        <w:t>；项目支出357.67万元，占29.17</w:t>
      </w:r>
      <w:r>
        <w:rPr>
          <w:rFonts w:ascii="仿宋" w:eastAsia="仿宋"/>
          <w:color w:val="000000"/>
          <w:sz w:val="32"/>
          <w:szCs w:val="32"/>
        </w:rPr>
        <w:t>%</w:t>
      </w:r>
      <w:r>
        <w:rPr>
          <w:rFonts w:ascii="仿宋" w:eastAsia="仿宋" w:hint="eastAsia"/>
          <w:color w:val="000000"/>
          <w:sz w:val="32"/>
          <w:szCs w:val="32"/>
        </w:rPr>
        <w:t>；上缴上级支出0万元，占0</w:t>
      </w:r>
      <w:r>
        <w:rPr>
          <w:rFonts w:ascii="仿宋" w:eastAsia="仿宋"/>
          <w:color w:val="000000"/>
          <w:sz w:val="32"/>
          <w:szCs w:val="32"/>
        </w:rPr>
        <w:t>%</w:t>
      </w:r>
      <w:r>
        <w:rPr>
          <w:rFonts w:ascii="仿宋" w:eastAsia="仿宋" w:hint="eastAsia"/>
          <w:color w:val="000000"/>
          <w:sz w:val="32"/>
          <w:szCs w:val="32"/>
        </w:rPr>
        <w:t>；经营支出0万元，占0</w:t>
      </w:r>
      <w:r>
        <w:rPr>
          <w:rFonts w:ascii="仿宋" w:eastAsia="仿宋"/>
          <w:color w:val="000000"/>
          <w:sz w:val="32"/>
          <w:szCs w:val="32"/>
        </w:rPr>
        <w:t>%</w:t>
      </w:r>
      <w:r>
        <w:rPr>
          <w:rFonts w:ascii="仿宋" w:eastAsia="仿宋" w:hint="eastAsia"/>
          <w:color w:val="000000"/>
          <w:sz w:val="32"/>
          <w:szCs w:val="32"/>
        </w:rPr>
        <w:t>；对附属单位补助支出0万元，占0</w:t>
      </w:r>
      <w:r>
        <w:rPr>
          <w:rFonts w:ascii="仿宋" w:eastAsia="仿宋"/>
          <w:color w:val="000000"/>
          <w:sz w:val="32"/>
          <w:szCs w:val="32"/>
        </w:rPr>
        <w:t>%</w:t>
      </w:r>
      <w:r>
        <w:rPr>
          <w:rFonts w:ascii="仿宋" w:eastAsia="仿宋" w:hint="eastAsia"/>
          <w:color w:val="000000"/>
          <w:sz w:val="32"/>
          <w:szCs w:val="32"/>
        </w:rPr>
        <w:t>。</w:t>
      </w:r>
    </w:p>
    <w:p>
      <w:pPr>
        <w:spacing w:line="580" w:lineRule="exact"/>
        <w:ind w:firstLineChars="200" w:firstLine="640"/>
        <w:rPr>
          <w:rFonts w:ascii="黑体" w:eastAsia="黑体" w:cs="黑体"/>
          <w:sz w:val="32"/>
          <w:szCs w:val="32"/>
        </w:rPr>
      </w:pPr>
      <w:r>
        <w:rPr>
          <w:rFonts w:ascii="黑体" w:eastAsia="黑体" w:cs="黑体"/>
          <w:sz w:val="32"/>
          <w:szCs w:val="32"/>
        </w:rPr>
        <w:t>三、部门整体预算绩效管理情况（根据适用指标体系进行调整）</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（二）专项预算管理。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（三）结果应用情况。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包括部门自评质量、绩效目标公开和自评公开、评价结果整改和应用结果反馈等情况。</w:t>
      </w:r>
    </w:p>
    <w:p>
      <w:pPr>
        <w:spacing w:line="580" w:lineRule="exact"/>
        <w:ind w:firstLineChars="200" w:firstLine="640"/>
        <w:rPr>
          <w:rFonts w:ascii="黑体" w:eastAsia="黑体" w:cs="黑体"/>
          <w:sz w:val="32"/>
          <w:szCs w:val="32"/>
        </w:rPr>
      </w:pPr>
      <w:r>
        <w:rPr>
          <w:rFonts w:ascii="黑体" w:eastAsia="黑体" w:cs="黑体"/>
          <w:sz w:val="32"/>
          <w:szCs w:val="32"/>
        </w:rPr>
        <w:t>四、评价结论及建议</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总体看，我单位预算编制及执行决算较为准确，支出管理较为规范，财务管理制度较完善，部门整体绩效较好。部门支出绩效自评得分为100分。</w:t>
      </w:r>
    </w:p>
    <w:p>
      <w:pPr>
        <w:numPr>
          <w:ilvl w:val="0"/>
          <w:numId w:val="9"/>
        </w:numPr>
        <w:spacing w:line="580" w:lineRule="exact"/>
        <w:ind w:left="0" w:firstLineChars="200" w:firstLine="640"/>
        <w:rPr>
          <w:rFonts w:ascii="仿宋" w:eastAsia="仿宋" w:cs="仿宋_GB2312"/>
          <w:sz w:val="32"/>
          <w:szCs w:val="32"/>
        </w:rPr>
      </w:pPr>
      <w:r>
        <w:rPr>
          <w:rFonts w:ascii="仿宋" w:eastAsia="仿宋" w:cs="仿宋_GB2312"/>
          <w:sz w:val="32"/>
          <w:szCs w:val="32"/>
        </w:rPr>
        <w:t>存在问题。</w:t>
      </w:r>
    </w:p>
    <w:p>
      <w:pPr>
        <w:spacing w:line="578" w:lineRule="exact"/>
        <w:ind w:firstLineChars="200" w:firstLine="640"/>
        <w:rPr>
          <w:rFonts w:ascii="仿宋" w:eastAsia="仿宋" w:cs="仿宋"/>
          <w:sz w:val="32"/>
          <w:szCs w:val="32"/>
        </w:rPr>
      </w:pPr>
      <w:r>
        <w:rPr>
          <w:rFonts w:ascii="仿宋" w:eastAsia="仿宋" w:cs="仿宋" w:hint="eastAsia"/>
          <w:sz w:val="32"/>
          <w:szCs w:val="32"/>
        </w:rPr>
        <w:t>1、政府采购方面。政府采购方面存在等的思想，不能及时与上级沟通。</w:t>
      </w:r>
    </w:p>
    <w:p>
      <w:pPr>
        <w:spacing w:line="578" w:lineRule="exact"/>
        <w:ind w:firstLineChars="200" w:firstLine="640"/>
        <w:rPr>
          <w:rFonts w:ascii="仿宋" w:eastAsia="仿宋" w:cs="仿宋"/>
          <w:sz w:val="32"/>
          <w:szCs w:val="32"/>
        </w:rPr>
      </w:pPr>
      <w:r>
        <w:rPr>
          <w:rFonts w:ascii="仿宋" w:eastAsia="仿宋" w:cs="仿宋" w:hint="eastAsia"/>
          <w:sz w:val="32"/>
          <w:szCs w:val="32"/>
        </w:rPr>
        <w:t>2、资产管理方面。在平时工作中对资产管理的知识学习不够，经验不足。</w:t>
      </w:r>
    </w:p>
    <w:p>
      <w:pPr>
        <w:spacing w:line="578" w:lineRule="exact"/>
        <w:ind w:firstLineChars="200" w:firstLine="640"/>
        <w:rPr>
          <w:rFonts w:ascii="仿宋" w:eastAsia="仿宋" w:cs="仿宋"/>
          <w:sz w:val="32"/>
          <w:szCs w:val="32"/>
        </w:rPr>
      </w:pPr>
      <w:r>
        <w:rPr>
          <w:rFonts w:ascii="仿宋" w:eastAsia="仿宋" w:cs="仿宋" w:hint="eastAsia"/>
          <w:sz w:val="32"/>
          <w:szCs w:val="32"/>
        </w:rPr>
        <w:t>3、财务管理及会计核算方面。在工学矛盾处理不够好，就导致做账不够及时。</w:t>
      </w:r>
    </w:p>
    <w:p>
      <w:pPr>
        <w:spacing w:line="578" w:lineRule="exact"/>
        <w:ind w:firstLineChars="200" w:firstLine="640"/>
        <w:rPr>
          <w:rFonts w:ascii="仿宋" w:eastAsia="仿宋" w:cs="仿宋"/>
          <w:sz w:val="32"/>
          <w:szCs w:val="32"/>
        </w:rPr>
      </w:pPr>
      <w:r>
        <w:rPr>
          <w:rFonts w:ascii="仿宋" w:eastAsia="仿宋" w:cs="仿宋" w:hint="eastAsia"/>
          <w:sz w:val="32"/>
          <w:szCs w:val="32"/>
        </w:rPr>
        <w:t>4、人员管理方面。在平时工作中对人员管理还不是很严格，存在时紧时松的现象。</w:t>
      </w:r>
    </w:p>
    <w:p>
      <w:pPr>
        <w:spacing w:line="580" w:lineRule="exact"/>
        <w:ind w:firstLineChars="200" w:firstLine="640"/>
        <w:rPr>
          <w:rFonts w:ascii="仿宋" w:eastAsia="仿宋" w:cs="仿宋_GB2312"/>
          <w:sz w:val="32"/>
          <w:szCs w:val="32"/>
        </w:rPr>
      </w:pPr>
      <w:r>
        <w:rPr>
          <w:rFonts w:ascii="仿宋" w:eastAsia="仿宋" w:cs="仿宋_GB2312"/>
          <w:sz w:val="32"/>
          <w:szCs w:val="32"/>
        </w:rPr>
        <w:t>（三）改进建议。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1、提高预算编制质量。严格按照年初的预算编制，落实好资金的分配，及时报送相关资料。</w:t>
      </w:r>
    </w:p>
    <w:p>
      <w:pPr>
        <w:spacing w:line="578" w:lineRule="exact"/>
        <w:ind w:firstLineChars="200" w:firstLine="640"/>
        <w:rPr>
          <w:rFonts w:ascii="仿宋" w:eastAsia="仿宋" w:cs="仿宋"/>
          <w:sz w:val="32"/>
          <w:szCs w:val="32"/>
        </w:rPr>
      </w:pPr>
      <w:r>
        <w:rPr>
          <w:rFonts w:ascii="仿宋" w:eastAsia="仿宋" w:cs="仿宋" w:hint="eastAsia"/>
          <w:sz w:val="32"/>
          <w:szCs w:val="32"/>
        </w:rPr>
        <w:t>2、严格执行政府采购。严格按照行政采购计划，采购程序进行采购。</w:t>
      </w:r>
    </w:p>
    <w:p>
      <w:pPr>
        <w:spacing w:line="578" w:lineRule="exact"/>
        <w:ind w:firstLineChars="200" w:firstLine="640"/>
        <w:rPr>
          <w:rFonts w:ascii="仿宋" w:eastAsia="仿宋" w:cs="仿宋"/>
          <w:sz w:val="32"/>
          <w:szCs w:val="32"/>
        </w:rPr>
      </w:pPr>
      <w:r>
        <w:rPr>
          <w:rFonts w:ascii="仿宋" w:eastAsia="仿宋" w:cs="仿宋" w:hint="eastAsia"/>
          <w:sz w:val="32"/>
          <w:szCs w:val="32"/>
        </w:rPr>
        <w:t>3、加强资产管理。加强资产管理的知识学习，严格遵守资产管理制度进行管理，并制定专人负责管理。</w:t>
      </w:r>
    </w:p>
    <w:p>
      <w:pPr>
        <w:spacing w:line="578" w:lineRule="exact"/>
        <w:ind w:firstLineChars="200" w:firstLine="640"/>
        <w:rPr>
          <w:rFonts w:ascii="仿宋" w:eastAsia="仿宋" w:cs="仿宋"/>
          <w:sz w:val="32"/>
          <w:szCs w:val="32"/>
        </w:rPr>
      </w:pPr>
      <w:r>
        <w:rPr>
          <w:rFonts w:ascii="仿宋" w:eastAsia="仿宋" w:cs="仿宋" w:hint="eastAsia"/>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Chars="200" w:firstLine="640"/>
        <w:rPr>
          <w:rFonts w:ascii="仿宋" w:eastAsia="仿宋" w:cs="仿宋"/>
          <w:sz w:val="32"/>
          <w:szCs w:val="32"/>
        </w:rPr>
      </w:pPr>
      <w:r>
        <w:rPr>
          <w:rFonts w:ascii="仿宋" w:eastAsia="仿宋" w:cs="仿宋" w:hint="eastAsia"/>
          <w:sz w:val="32"/>
          <w:szCs w:val="32"/>
        </w:rPr>
        <w:t>5、人员管理。严格加强人员管理，坚持上下班制度，不迟到早退，遵守人员管理制度。</w:t>
      </w:r>
    </w:p>
    <w:p>
      <w:pPr>
        <w:spacing w:line="580" w:lineRule="exact"/>
        <w:rPr>
          <w:rFonts w:ascii="仿宋_GB2312" w:eastAsia="仿宋_GB2312" w:cs="仿宋_GB2312"/>
          <w:sz w:val="32"/>
          <w:szCs w:val="32"/>
        </w:rPr>
      </w:pPr>
    </w:p>
    <w:p>
      <w:pPr>
        <w:widowControl/>
        <w:jc w:val="left"/>
        <w:rPr>
          <w:rFonts w:ascii="仿宋_GB2312" w:eastAsia="仿宋_GB2312" w:cs="仿宋_GB2312"/>
          <w:sz w:val="32"/>
          <w:szCs w:val="32"/>
        </w:rPr>
      </w:pPr>
      <w:r>
        <w:rPr>
          <w:rFonts w:ascii="仿宋_GB2312" w:eastAsia="仿宋_GB2312" w:cs="仿宋_GB2312"/>
          <w:sz w:val="32"/>
          <w:szCs w:val="32"/>
        </w:rPr>
        <w:br w:type="page"/>
      </w:r>
    </w:p>
    <w:p>
      <w:pPr>
        <w:pStyle w:val="2"/>
        <w:rPr>
          <w:rStyle w:val="1Char"/>
          <w:rFonts w:ascii="仿宋" w:eastAsia="仿宋"/>
          <w:sz w:val="32"/>
          <w:szCs w:val="32"/>
        </w:rPr>
      </w:pPr>
      <w:bookmarkStart w:id="62" w:name="_Toc15396617"/>
      <w:r>
        <w:rPr>
          <w:rStyle w:val="1Char"/>
          <w:rFonts w:ascii="仿宋" w:eastAsia="仿宋" w:hint="eastAsia"/>
          <w:sz w:val="32"/>
          <w:szCs w:val="32"/>
        </w:rPr>
        <w:t>附件2</w:t>
      </w:r>
      <w:bookmarkEnd w:id="62"/>
    </w:p>
    <w:p>
      <w:pPr>
        <w:spacing w:line="580" w:lineRule="exact"/>
        <w:jc w:val="center"/>
        <w:rPr>
          <w:rFonts w:ascii="黑体" w:eastAsia="黑体" w:cs="方正小标宋简体"/>
          <w:sz w:val="44"/>
          <w:szCs w:val="44"/>
        </w:rPr>
      </w:pPr>
      <w:r>
        <w:rPr>
          <w:rFonts w:ascii="黑体" w:eastAsia="黑体" w:cs="方正小标宋简体" w:hint="eastAsia"/>
          <w:sz w:val="44"/>
          <w:szCs w:val="44"/>
        </w:rPr>
        <w:t>2018年达州市达川区永进乡项目支出绩效评价报告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达川区永进乡2018年项目资金</w:t>
      </w:r>
      <w:r>
        <w:rPr>
          <w:rFonts w:ascii="仿宋" w:eastAsia="仿宋" w:hint="eastAsia"/>
          <w:color w:val="000000"/>
          <w:sz w:val="32"/>
          <w:szCs w:val="32"/>
        </w:rPr>
        <w:t>357.67</w:t>
      </w:r>
      <w:r>
        <w:rPr>
          <w:rFonts w:ascii="仿宋" w:eastAsia="仿宋" w:cs="仿宋_GB2312" w:hint="eastAsia"/>
          <w:sz w:val="32"/>
          <w:szCs w:val="32"/>
        </w:rPr>
        <w:t>万元，其中：保运行资金80.4万元，用于政府日常工作正常运转；促发展资金10万元，化债资金3.5万元，用于解决历年欠款；解困资金4万元，解决永进乡的一些困难户的救济；信访维稳资金4万元，用于全乡安全、信访、维稳。</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、评价结论及绩效分析</w:t>
      </w:r>
    </w:p>
    <w:p>
      <w:pPr>
        <w:spacing w:line="580" w:lineRule="exact"/>
        <w:ind w:firstLineChars="200" w:firstLine="640"/>
        <w:rPr>
          <w:rFonts w:ascii="仿宋" w:eastAsia="仿宋" w:cs="仿宋_GB2312"/>
          <w:sz w:val="32"/>
          <w:szCs w:val="32"/>
        </w:rPr>
      </w:pPr>
      <w:bookmarkStart w:id="63" w:name="_Toc15396618"/>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确保政府日常工作正常运转；进一步解决历年欠款债务，确保社会和谐，维护社会稳定；农村基础设施环境建设得到加强，改善农村生产生活条件，提高村民幸福生活指数，促进农村社会事业的发展和乡风文明水平的提高。</w:t>
      </w:r>
    </w:p>
    <w:p>
      <w:pPr>
        <w:spacing w:line="580" w:lineRule="exact"/>
        <w:ind w:firstLineChars="200" w:firstLine="640"/>
        <w:rPr>
          <w:rFonts w:ascii="仿宋" w:eastAsia="仿宋" w:cs="仿宋_GB2312"/>
          <w:sz w:val="32"/>
          <w:szCs w:val="32"/>
        </w:rPr>
      </w:pPr>
      <w:r>
        <w:rPr>
          <w:rFonts w:ascii="仿宋" w:eastAsia="仿宋" w:cs="仿宋_GB2312"/>
          <w:sz w:val="32"/>
          <w:szCs w:val="32"/>
        </w:rPr>
        <w:t>（二）绩效分析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1、项目决策</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2018年</w:t>
      </w:r>
      <w:r>
        <w:rPr>
          <w:rFonts w:ascii="仿宋" w:eastAsia="仿宋" w:cs="仿宋" w:hint="eastAsia"/>
          <w:sz w:val="32"/>
          <w:szCs w:val="32"/>
          <w:lang w:val="zh-CN"/>
        </w:rPr>
        <w:t>项目申报严格按照上级要求明确绩效目标，控制成本，提高项目发挥作用，严格按照项目的程序进行申报，严格按照批复项目的内容，符合资金管理办法等相关规定</w:t>
      </w:r>
      <w:r>
        <w:rPr>
          <w:rFonts w:ascii="仿宋" w:eastAsia="仿宋" w:cs="仿宋" w:hint="eastAsia"/>
          <w:sz w:val="32"/>
          <w:szCs w:val="32"/>
        </w:rPr>
        <w:t>使用</w:t>
      </w:r>
      <w:r>
        <w:rPr>
          <w:rFonts w:ascii="仿宋" w:eastAsia="仿宋" w:cs="仿宋" w:hint="eastAsia"/>
          <w:sz w:val="32"/>
          <w:szCs w:val="32"/>
          <w:lang w:val="zh-CN"/>
        </w:rPr>
        <w:t>。</w:t>
      </w:r>
    </w:p>
    <w:p>
      <w:pPr>
        <w:spacing w:line="580" w:lineRule="exact"/>
        <w:ind w:firstLineChars="200" w:firstLine="640"/>
        <w:rPr>
          <w:rFonts w:ascii="仿宋" w:eastAsia="仿宋" w:cs="仿宋_GB2312"/>
          <w:sz w:val="32"/>
          <w:szCs w:val="32"/>
        </w:rPr>
      </w:pPr>
      <w:r>
        <w:rPr>
          <w:rFonts w:ascii="仿宋" w:eastAsia="仿宋" w:cs="仿宋_GB2312"/>
          <w:sz w:val="32"/>
          <w:szCs w:val="32"/>
        </w:rPr>
        <w:t>2、项目管理</w:t>
      </w:r>
    </w:p>
    <w:p>
      <w:pPr>
        <w:spacing w:line="578" w:lineRule="exact"/>
        <w:ind w:firstLineChars="200" w:firstLine="640"/>
        <w:rPr>
          <w:rFonts w:ascii="仿宋" w:eastAsia="仿宋" w:cs="仿宋_GB2312"/>
          <w:sz w:val="32"/>
          <w:szCs w:val="32"/>
        </w:rPr>
      </w:pPr>
      <w:r>
        <w:rPr>
          <w:rFonts w:ascii="仿宋" w:eastAsia="仿宋" w:cs="仿宋" w:hint="eastAsia"/>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Chars="200" w:firstLine="640"/>
        <w:rPr>
          <w:rFonts w:ascii="仿宋" w:eastAsia="仿宋" w:cs="仿宋_GB2312"/>
          <w:sz w:val="32"/>
          <w:szCs w:val="32"/>
        </w:rPr>
      </w:pPr>
      <w:r>
        <w:rPr>
          <w:rFonts w:ascii="仿宋" w:eastAsia="仿宋" w:cs="仿宋_GB2312"/>
          <w:sz w:val="32"/>
          <w:szCs w:val="32"/>
        </w:rPr>
        <w:t>3、项目绩效</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lang w:val="zh-CN"/>
        </w:rPr>
        <w:t>通过永进乡全体工作人员的努力下，各项工作圆满完成，</w:t>
      </w:r>
      <w:r>
        <w:rPr>
          <w:rFonts w:ascii="仿宋" w:eastAsia="仿宋" w:cs="仿宋" w:hint="eastAsia"/>
          <w:sz w:val="32"/>
          <w:szCs w:val="32"/>
        </w:rPr>
        <w:t>化解了以前的一些</w:t>
      </w:r>
      <w:r>
        <w:rPr>
          <w:rFonts w:ascii="仿宋" w:eastAsia="仿宋" w:cs="仿宋" w:hint="eastAsia"/>
          <w:sz w:val="32"/>
          <w:szCs w:val="32"/>
          <w:lang w:val="zh-CN"/>
        </w:rPr>
        <w:t>债务，促进永进乡脱贫攻坚中的产业发展，解决了永进乡的一些困难户的救济，解决了上访人员的一些实际困难，</w:t>
      </w:r>
      <w:r>
        <w:rPr>
          <w:rFonts w:ascii="仿宋" w:eastAsia="仿宋" w:cs="仿宋" w:hint="eastAsia"/>
          <w:sz w:val="32"/>
          <w:szCs w:val="32"/>
        </w:rPr>
        <w:t>确保了政府日常工作正常运转、社会和谐，维护了社会稳定。</w:t>
      </w:r>
      <w:r>
        <w:rPr>
          <w:rFonts w:ascii="仿宋" w:eastAsia="仿宋" w:cs="仿宋" w:hint="eastAsia"/>
          <w:sz w:val="32"/>
          <w:szCs w:val="32"/>
          <w:lang w:val="zh-CN"/>
        </w:rPr>
        <w:t>充分调动了民主参与，民主管理，民主管理的积极性。</w:t>
      </w:r>
    </w:p>
    <w:p>
      <w:pPr>
        <w:numPr>
          <w:ilvl w:val="0"/>
          <w:numId w:val="10"/>
        </w:numPr>
        <w:spacing w:line="580" w:lineRule="exact"/>
        <w:ind w:left="0" w:firstLineChars="200" w:firstLine="640"/>
        <w:rPr>
          <w:rFonts w:ascii="仿宋" w:eastAsia="仿宋" w:cs="仿宋_GB2312"/>
          <w:sz w:val="32"/>
          <w:szCs w:val="32"/>
        </w:rPr>
      </w:pPr>
      <w:r>
        <w:rPr>
          <w:rFonts w:ascii="仿宋" w:eastAsia="仿宋" w:cs="仿宋_GB2312"/>
          <w:sz w:val="32"/>
          <w:szCs w:val="32"/>
        </w:rPr>
        <w:t>存在主要问题</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1、</w:t>
      </w:r>
      <w:r>
        <w:rPr>
          <w:rFonts w:ascii="仿宋" w:eastAsia="仿宋" w:cs="仿宋" w:hint="eastAsia"/>
          <w:sz w:val="32"/>
          <w:szCs w:val="32"/>
          <w:lang w:val="zh-CN"/>
        </w:rPr>
        <w:t>财政项目自评报告对于本单位来说是刚开展的一项工作，缺乏经验，资金管理制度没有完整的建立起来。</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2、</w:t>
      </w:r>
      <w:r>
        <w:rPr>
          <w:rFonts w:ascii="仿宋" w:eastAsia="仿宋" w:cs="仿宋" w:hint="eastAsia"/>
          <w:sz w:val="32"/>
          <w:szCs w:val="32"/>
          <w:lang w:val="zh-CN"/>
        </w:rPr>
        <w:t>历年存在欠款的现象，主要是历年的一些债务较多，乡党委政府无力偿还，也没其他的收入，只有等财政拨款收入才能去偿还，有一些等靠思想，积极主动性还不够。</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3、在脱贫攻坚产业发展方面上，引进来，走出去的思想不够，缺乏一些产业技术扶持，不能够很好的去真正了解一些种植、养殖技术，缺乏专业性的指导。</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w:t>
      </w:r>
      <w:r>
        <w:rPr>
          <w:rFonts w:ascii="仿宋" w:eastAsia="仿宋" w:cs="仿宋_GB2312"/>
          <w:sz w:val="32"/>
          <w:szCs w:val="32"/>
        </w:rPr>
        <w:t>、相关措施建议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1、乡党委政府积极主动多向上级部门领导汇报，结合乡的一些现实的情况与部门领导做好沟通汇报，力争早日解决好历年的欠款。</w:t>
      </w:r>
    </w:p>
    <w:p>
      <w:pPr>
        <w:spacing w:line="578" w:lineRule="exact"/>
        <w:ind w:firstLineChars="200" w:firstLine="640"/>
        <w:rPr>
          <w:rFonts w:ascii="仿宋" w:eastAsia="仿宋" w:cs="仿宋_GB2312"/>
          <w:sz w:val="32"/>
          <w:szCs w:val="32"/>
        </w:rPr>
      </w:pPr>
      <w:r>
        <w:rPr>
          <w:rFonts w:ascii="仿宋" w:eastAsia="仿宋" w:cs="仿宋" w:hint="eastAsia"/>
          <w:sz w:val="32"/>
          <w:szCs w:val="32"/>
        </w:rPr>
        <w:t>2、加强我乡的一些技术人员的学习，多向一些产业发展的较好的乡镇组织参观学习，做到引进来，走出去的思想，打破以前的一些陈旧的思想，切实把我乡的产业提高一个新台阶。</w:t>
      </w: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Style w:val="1Char"/>
          <w:rFonts w:ascii="黑体" w:eastAsia="黑体"/>
          <w:b w:val="0"/>
        </w:rPr>
      </w:pPr>
      <w:r>
        <w:rPr>
          <w:rFonts w:ascii="黑体" w:eastAsia="黑体" w:hint="eastAsia"/>
          <w:color w:val="000000"/>
          <w:sz w:val="44"/>
          <w:szCs w:val="44"/>
        </w:rPr>
        <w:t>第</w:t>
      </w:r>
      <w:r>
        <w:rPr>
          <w:rStyle w:val="1Char"/>
          <w:rFonts w:ascii="黑体" w:eastAsia="黑体" w:hint="eastAsia"/>
          <w:b w:val="0"/>
        </w:rPr>
        <w:t>五部分 附表</w:t>
      </w:r>
      <w:bookmarkEnd w:id="58"/>
      <w:bookmarkEnd w:id="63"/>
    </w:p>
    <w:p>
      <w:pPr>
        <w:pStyle w:val="2"/>
        <w:rPr>
          <w:rFonts w:ascii="仿宋" w:eastAsia="仿宋"/>
          <w:color w:val="000000"/>
        </w:rPr>
      </w:pPr>
      <w:bookmarkStart w:id="64" w:name="_Toc15396619"/>
      <w:r>
        <w:rPr>
          <w:rFonts w:ascii="仿宋" w:eastAsia="仿宋" w:hint="eastAsia"/>
          <w:b w:val="0"/>
          <w:color w:val="000000"/>
        </w:rPr>
        <w:t>一、收</w:t>
      </w:r>
      <w:r>
        <w:rPr>
          <w:rStyle w:val="2Char"/>
          <w:rFonts w:ascii="仿宋" w:eastAsia="仿宋" w:hint="eastAsia"/>
        </w:rPr>
        <w:t>入支出决算总表</w:t>
      </w:r>
      <w:bookmarkEnd w:id="64"/>
    </w:p>
    <w:p>
      <w:pPr>
        <w:pStyle w:val="2"/>
        <w:rPr>
          <w:rFonts w:ascii="仿宋" w:eastAsia="仿宋"/>
          <w:color w:val="000000"/>
        </w:rPr>
      </w:pPr>
      <w:bookmarkStart w:id="65" w:name="_Toc15396620"/>
      <w:r>
        <w:rPr>
          <w:rFonts w:ascii="仿宋" w:eastAsia="仿宋" w:hint="eastAsia"/>
          <w:b w:val="0"/>
          <w:color w:val="000000"/>
        </w:rPr>
        <w:t>二、收</w:t>
      </w:r>
      <w:r>
        <w:rPr>
          <w:rStyle w:val="2Char"/>
          <w:rFonts w:ascii="仿宋" w:eastAsia="仿宋" w:hint="eastAsia"/>
        </w:rPr>
        <w:t>入总表</w:t>
      </w:r>
      <w:bookmarkEnd w:id="65"/>
    </w:p>
    <w:p>
      <w:pPr>
        <w:pStyle w:val="2"/>
        <w:rPr>
          <w:rFonts w:ascii="仿宋" w:eastAsia="仿宋"/>
          <w:color w:val="000000"/>
        </w:rPr>
      </w:pPr>
      <w:bookmarkStart w:id="66" w:name="_Toc15396621"/>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出总表</w:t>
      </w:r>
      <w:bookmarkEnd w:id="66"/>
    </w:p>
    <w:p>
      <w:pPr>
        <w:pStyle w:val="2"/>
        <w:rPr>
          <w:rFonts w:ascii="仿宋" w:eastAsia="仿宋"/>
          <w:b w:val="0"/>
          <w:color w:val="000000"/>
        </w:rPr>
      </w:pPr>
      <w:bookmarkStart w:id="67" w:name="_Toc15396622"/>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67"/>
    </w:p>
    <w:p>
      <w:pPr>
        <w:pStyle w:val="2"/>
        <w:rPr>
          <w:rFonts w:ascii="仿宋" w:eastAsia="仿宋"/>
          <w:color w:val="000000"/>
        </w:rPr>
      </w:pPr>
      <w:bookmarkStart w:id="68" w:name="_Toc15396623"/>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政拨款支出决算明细表（政府经济分类科目）</w:t>
      </w:r>
      <w:bookmarkEnd w:id="68"/>
    </w:p>
    <w:p>
      <w:pPr>
        <w:pStyle w:val="2"/>
        <w:rPr>
          <w:rFonts w:ascii="仿宋" w:eastAsia="仿宋"/>
          <w:color w:val="000000"/>
        </w:rPr>
      </w:pPr>
      <w:bookmarkStart w:id="69" w:name="_Toc15396624"/>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69"/>
    </w:p>
    <w:p>
      <w:pPr>
        <w:pStyle w:val="2"/>
        <w:rPr>
          <w:rFonts w:ascii="仿宋" w:eastAsia="仿宋"/>
          <w:color w:val="000000"/>
        </w:rPr>
      </w:pPr>
      <w:bookmarkStart w:id="70" w:name="_Toc15396625"/>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70"/>
    </w:p>
    <w:p>
      <w:pPr>
        <w:pStyle w:val="2"/>
        <w:rPr>
          <w:rFonts w:ascii="仿宋" w:eastAsia="仿宋"/>
          <w:color w:val="000000"/>
        </w:rPr>
      </w:pPr>
      <w:bookmarkStart w:id="71" w:name="_Toc15396626"/>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71"/>
    </w:p>
    <w:p>
      <w:pPr>
        <w:pStyle w:val="2"/>
        <w:rPr>
          <w:rFonts w:ascii="仿宋" w:eastAsia="仿宋"/>
          <w:color w:val="000000"/>
        </w:rPr>
      </w:pPr>
      <w:bookmarkStart w:id="72" w:name="_Toc15396627"/>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72"/>
    </w:p>
    <w:p>
      <w:pPr>
        <w:pStyle w:val="2"/>
        <w:rPr>
          <w:rFonts w:ascii="仿宋" w:eastAsia="仿宋"/>
          <w:color w:val="000000"/>
        </w:rPr>
      </w:pPr>
      <w:bookmarkStart w:id="73" w:name="_Toc15396628"/>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73"/>
    </w:p>
    <w:p>
      <w:pPr>
        <w:pStyle w:val="2"/>
        <w:rPr>
          <w:rFonts w:ascii="仿宋" w:eastAsia="仿宋"/>
          <w:color w:val="000000"/>
        </w:rPr>
      </w:pPr>
      <w:bookmarkStart w:id="74" w:name="_Toc15396629"/>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74"/>
    </w:p>
    <w:p>
      <w:pPr>
        <w:pStyle w:val="2"/>
        <w:rPr>
          <w:rFonts w:ascii="仿宋" w:eastAsia="仿宋"/>
          <w:color w:val="000000"/>
        </w:rPr>
      </w:pPr>
      <w:bookmarkStart w:id="75" w:name="_Toc15396630"/>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75"/>
    </w:p>
    <w:p>
      <w:pPr>
        <w:pStyle w:val="2"/>
        <w:rPr>
          <w:rFonts w:ascii="仿宋" w:eastAsia="仿宋"/>
          <w:color w:val="000000"/>
        </w:rPr>
      </w:pPr>
      <w:bookmarkStart w:id="76" w:name="_Toc15396631"/>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有资本经营预算支出决算表</w:t>
      </w:r>
      <w:bookmarkEnd w:id="76"/>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2010601030101010101"/>
    <w:charset w:val="86"/>
    <w:family w:val="auto"/>
    <w:pitch w:val="variable"/>
    <w:sig w:usb0="00000001" w:usb1="080E0000" w:usb2="00000010" w:usb3="00000000" w:csb0="00040000" w:csb1="00000000"/>
  </w:font>
  <w:font w:name="黑体">
    <w:altName w:val="文泉驿微米黑"/>
    <w:panose1 w:val="02010609060101010101"/>
    <w:charset w:val="86"/>
    <w:family w:val="modern"/>
    <w:pitch w:val="variable"/>
    <w:sig w:usb0="800002BF" w:usb1="38CF7CFA"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仿宋">
    <w:altName w:val="仿宋_GB2312"/>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楷体_GB2312">
    <w:altName w:val="永中楷体"/>
    <w:panose1 w:val="00000000000000000000"/>
    <w:charset w:val="86"/>
    <w:family w:val="auto"/>
    <w:pitch w:val="variable"/>
    <w:sig w:usb0="00000000" w:usb1="00000000" w:usb2="00000000" w:usb3="00000000" w:csb0="00040000" w:csb1="00000000"/>
  </w:font>
  <w:font w:name="宋体">
    <w:altName w:val="文泉驿微米黑"/>
    <w:panose1 w:val="02010600030101010101"/>
    <w:charset w:val="86"/>
    <w:family w:val="auto"/>
    <w:pitch w:val="variable"/>
    <w:sig w:usb0="00000003" w:usb1="288F0000" w:usb2="00000016" w:usb3="00000000" w:csb0="00040001" w:csb1="00000000"/>
  </w:font>
  <w:font w:name="Cambria">
    <w:altName w:val="DejaVu Sans"/>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8890731"/>
    </w:sdtPr>
    <w:sdtContent>
      <w:p>
        <w:pPr>
          <w:pStyle w:val="18"/>
          <w:tabs>
            <w:tab w:val="center" w:pos="4153"/>
            <w:tab w:val="right" w:pos="8306"/>
          </w:tabs>
          <w:jc w:val="center"/>
        </w:pPr>
        <w:r>
          <w:fldChar w:fldCharType="begin"/>
        </w:r>
        <w:r>
          <w:instrText>PAGE   \* MERGEFORMAT</w:instrText>
        </w:r>
        <w:r>
          <w:fldChar w:fldCharType="separate"/>
        </w:r>
        <w:r>
          <w:rPr>
            <w:lang w:val="zh-CN"/>
          </w:rPr>
          <w:t>37</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A"/>
    <w:multiLevelType w:val="singleLevel"/>
    <w:tmpl w:val="0000000A"/>
    <w:lvl w:ilvl="0">
      <w:start w:val="1"/>
      <w:numFmt w:val="decimal"/>
      <w:lvlRestart w:val="0"/>
      <w:suff w:val="nothing"/>
      <w:lvlText w:val="%1."/>
      <w:lvlJc w:val="left"/>
      <w:pPr>
        <w:tabs>
          <w:tab w:val="num" w:pos="0"/>
        </w:tabs>
        <w:ind w:left="0" w:hanging="0"/>
      </w:pPr>
    </w:lvl>
  </w:abstractNum>
  <w:abstractNum w:abstractNumId="1">
    <w:nsid w:val="50447D9B"/>
    <w:multiLevelType w:val="hybridMultilevel"/>
    <w:tmpl w:val="E9445830"/>
    <w:lvl w:ilvl="0">
      <w:start w:val="2"/>
      <w:numFmt w:val="japaneseCounting"/>
      <w:lvlRestart w:val="0"/>
      <w:lvlText w:val="%1、"/>
      <w:lvlJc w:val="left"/>
      <w:pPr>
        <w:tabs>
          <w:tab w:val="num" w:pos="0"/>
        </w:tabs>
        <w:ind w:left="1360" w:hanging="720"/>
      </w:pPr>
      <w:rPr>
        <w:rFonts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2">
    <w:nsid w:val="6CD60002"/>
    <w:multiLevelType w:val="singleLevel"/>
    <w:tmpl w:val="6CD60002"/>
    <w:lvl w:ilvl="0">
      <w:start w:val="1"/>
      <w:numFmt w:val="decimal"/>
      <w:lvlRestart w:val="0"/>
      <w:suff w:val="nothing"/>
      <w:lvlText w:val="%1、"/>
      <w:lvlJc w:val="left"/>
      <w:pPr>
        <w:tabs>
          <w:tab w:val="num" w:pos="0"/>
        </w:tabs>
        <w:ind w:left="640" w:hanging="0"/>
      </w:pPr>
    </w:lvl>
  </w:abstractNum>
  <w:abstractNum w:abstractNumId="3">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4">
    <w:nsid w:val="37096899"/>
    <w:multiLevelType w:val="singleLevel"/>
    <w:tmpl w:val="37096899"/>
    <w:lvl w:ilvl="0">
      <w:start w:val="1"/>
      <w:numFmt w:val="decimal"/>
      <w:lvlRestart w:val="0"/>
      <w:lvlText w:val="%1."/>
      <w:lvlJc w:val="left"/>
      <w:pPr>
        <w:tabs>
          <w:tab w:val="num" w:pos="0"/>
        </w:tabs>
        <w:ind w:left="0" w:hanging="0"/>
      </w:pPr>
    </w:lvl>
  </w:abstractNum>
  <w:abstractNum w:abstractNumId="5">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6">
    <w:nsid w:val="17F426B7"/>
    <w:multiLevelType w:val="multilevel"/>
    <w:tmpl w:val="17F426B7"/>
    <w:lvl w:ilvl="0">
      <w:start w:val="10"/>
      <w:numFmt w:val="japaneseCounting"/>
      <w:lvlRestart w:val="0"/>
      <w:lvlText w:val="%1、"/>
      <w:lvlJc w:val="left"/>
      <w:pPr>
        <w:tabs>
          <w:tab w:val="num" w:pos="0"/>
        </w:tabs>
        <w:ind w:left="1429" w:hanging="720"/>
      </w:pPr>
      <w:rPr>
        <w:rFonts w:hint="default"/>
      </w:r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abstractNum w:abstractNumId="7">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8">
    <w:nsid w:val="0633A94B"/>
    <w:multiLevelType w:val="singleLevel"/>
    <w:tmpl w:val="0633A94B"/>
    <w:lvl w:ilvl="0">
      <w:start w:val="2"/>
      <w:numFmt w:val="chineseCounting"/>
      <w:lvlRestart w:val="0"/>
      <w:suff w:val="nothing"/>
      <w:lvlText w:val="（%1）"/>
      <w:lvlJc w:val="left"/>
      <w:pPr>
        <w:tabs>
          <w:tab w:val="num" w:pos="0"/>
        </w:tabs>
        <w:ind w:left="0" w:hanging="0"/>
      </w:pPr>
      <w:rPr>
        <w:rFonts w:hint="eastAsia"/>
      </w:rPr>
    </w:lvl>
  </w:abstractNum>
  <w:abstractNum w:abstractNumId="9">
    <w:nsid w:val="951FFE38"/>
    <w:multiLevelType w:val="singleLevel"/>
    <w:tmpl w:val="951FFE38"/>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character" w:customStyle="1" w:styleId="30">
    <w:name w:val="font51"/>
    <w:basedOn w:val="10"/>
    <w:rPr>
      <w:rFonts w:ascii="Times New Roman" w:cs="Times New Roman" w:hAnsi="Times New Roman"/>
      <w:color w:val="000000"/>
      <w:sz w:val="20"/>
      <w:szCs w:val="20"/>
      <w:u w:val="none"/>
    </w:rPr>
  </w:style>
  <w:style w:type="character" w:customStyle="1" w:styleId="31">
    <w:name w:val="font41"/>
    <w:basedOn w:val="10"/>
    <w:rPr>
      <w:rFonts w:ascii="仿宋_GB2312" w:eastAsia="仿宋_GB2312" w:cs="仿宋_GB2312"/>
      <w:color w:val="000000"/>
      <w:sz w:val="20"/>
      <w:szCs w:val="20"/>
      <w:u w:val="none"/>
    </w:rPr>
  </w:style>
  <w:style w:type="character" w:customStyle="1" w:styleId="32">
    <w:name w:val="font21"/>
    <w:basedOn w:val="1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42</Pages>
  <Words>15009</Words>
  <Characters>16001</Characters>
  <Lines>1343</Lines>
  <Paragraphs>623</Paragraphs>
  <CharactersWithSpaces>16126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2</cp:revision>
  <cp:lastPrinted>2019-08-01T00:48:00Z</cp:lastPrinted>
  <dcterms:created xsi:type="dcterms:W3CDTF">2019-09-23T23:49:00Z</dcterms:created>
  <dcterms:modified xsi:type="dcterms:W3CDTF">2021-12-09T03:18:26Z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2052-11.1.0.8976</vt:lpwstr>
  </property>
</Properties>
</file>