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193"/>
      <w:bookmarkStart w:id="4" w:name="_Toc15378441"/>
      <w:bookmarkStart w:id="5" w:name="_Toc15377425"/>
      <w:bookmarkStart w:id="71" w:name="_GoBack"/>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96598"/>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达州市</w:t>
      </w:r>
      <w:r>
        <w:rPr>
          <w:rFonts w:ascii="方正小标宋简体" w:hAnsi="宋体" w:eastAsia="方正小标宋简体"/>
          <w:color w:val="000000"/>
          <w:sz w:val="72"/>
          <w:szCs w:val="72"/>
        </w:rPr>
        <w:t>达川产业新区管理委员会</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bookmarkEnd w:id="71"/>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2021</w:t>
      </w:r>
      <w:r>
        <w:rPr>
          <w:rFonts w:hint="eastAsia"/>
        </w:rPr>
        <w:t>年</w:t>
      </w:r>
      <w:r>
        <w:t>9</w:t>
      </w:r>
      <w:r>
        <w:rPr>
          <w:rFonts w:hint="eastAsia"/>
        </w:rPr>
        <w:t>月</w:t>
      </w:r>
      <w:r>
        <w:t>10</w:t>
      </w:r>
      <w:r>
        <w:rPr>
          <w:rFonts w:hint="eastAsia"/>
        </w:rPr>
        <w:t>日</w:t>
      </w:r>
    </w:p>
    <w:p/>
    <w:p>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二、收入决算情况说明</w:t>
      </w:r>
    </w:p>
    <w:p>
      <w:pPr>
        <w:pStyle w:val="11"/>
        <w:adjustRightInd w:val="0"/>
        <w:snapToGrid w:val="0"/>
        <w:spacing w:line="440" w:lineRule="exact"/>
        <w:jc w:val="left"/>
        <w:rPr>
          <w:rFonts w:ascii="仿宋" w:hAnsi="仿宋" w:eastAsia="仿宋"/>
          <w:sz w:val="24"/>
        </w:rPr>
      </w:pPr>
      <w:r>
        <w:rPr>
          <w:rFonts w:hint="eastAsia"/>
          <w:sz w:val="24"/>
        </w:rPr>
        <w:t>三、支出决算情况说明</w:t>
      </w:r>
    </w:p>
    <w:p>
      <w:pPr>
        <w:pStyle w:val="11"/>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w:t>
      </w:r>
      <w:r>
        <w:rPr>
          <w:rFonts w:hint="eastAsia"/>
          <w:sz w:val="24"/>
        </w:rPr>
        <w:t>国有资本经营预算支出决算情况说明</w:t>
      </w:r>
    </w:p>
    <w:p>
      <w:pPr>
        <w:adjustRightInd w:val="0"/>
        <w:snapToGrid w:val="0"/>
        <w:spacing w:line="440" w:lineRule="exact"/>
        <w:ind w:firstLine="480" w:firstLineChars="200"/>
        <w:jc w:val="left"/>
        <w:rPr>
          <w:rFonts w:ascii="仿宋" w:hAnsi="仿宋" w:eastAsia="仿宋"/>
          <w:sz w:val="24"/>
        </w:rPr>
      </w:pPr>
      <w:r>
        <w:rPr>
          <w:rStyle w:val="15"/>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sz w:val="24"/>
        </w:rPr>
      </w:pPr>
      <w:r>
        <w:rPr>
          <w:rFonts w:hint="eastAsia"/>
          <w:sz w:val="24"/>
        </w:rPr>
        <w:t>附件</w:t>
      </w:r>
      <w:r>
        <w:rPr>
          <w:sz w:val="24"/>
        </w:rPr>
        <w:t>2</w:t>
      </w:r>
    </w:p>
    <w:p>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十三、国有资本经营预算财政拨款收入支出决算表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pStyle w:val="3"/>
        <w:rPr>
          <w:rStyle w:val="1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楷体" w:hAnsi="楷体" w:eastAsia="楷体"/>
          <w:bCs/>
          <w:color w:val="000000"/>
          <w:sz w:val="32"/>
          <w:szCs w:val="32"/>
        </w:rPr>
      </w:pPr>
      <w:bookmarkStart w:id="16" w:name="_Toc15378445"/>
      <w:bookmarkStart w:id="17" w:name="_Toc15377198"/>
      <w:r>
        <w:rPr>
          <w:rFonts w:hint="eastAsia" w:ascii="楷体" w:hAnsi="楷体" w:eastAsia="楷体"/>
          <w:bCs/>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贯彻新时代党的建设总要求和新时代党的组织路线，落实区委相关决策部署；负责产业新区经济运行、企业服务、科技研发等工作；负责产业新区招商引资和对外经济技术合作交流工作，建立健全招商引资、企业准入退出、投融资、公共服务、产权交易、企业扶持等工作机制；负责产业新区行政审批事项的代办服务工作，保障企业依法自主经营，维护企业的合法权益；负责产业新区土地整理开发，基础设施和公共服务设施的建设与保障工作；负责产业新区的安全生产工作和生态环境工作；负责产业新区党的建设、党风廉政建设、精神文明建设、组织人事、机构编制、统计和监督审计等工作；负责区委、区政府交办的其他任务。</w:t>
      </w:r>
    </w:p>
    <w:p>
      <w:pPr>
        <w:pStyle w:val="5"/>
        <w:adjustRightInd w:val="0"/>
        <w:snapToGrid w:val="0"/>
        <w:spacing w:before="93" w:line="600" w:lineRule="exact"/>
        <w:ind w:firstLine="672" w:firstLineChars="210"/>
        <w:outlineLvl w:val="2"/>
        <w:rPr>
          <w:rFonts w:ascii="楷体" w:hAnsi="楷体" w:eastAsia="楷体"/>
          <w:bCs/>
          <w:color w:val="000000"/>
          <w:sz w:val="32"/>
          <w:szCs w:val="32"/>
        </w:rPr>
      </w:pPr>
      <w:bookmarkStart w:id="18" w:name="_Toc15377199"/>
      <w:bookmarkStart w:id="19" w:name="_Toc15378446"/>
      <w:r>
        <w:rPr>
          <w:rFonts w:hint="eastAsia" w:ascii="楷体" w:hAnsi="楷体" w:eastAsia="楷体"/>
          <w:bCs/>
          <w:color w:val="000000"/>
          <w:sz w:val="32"/>
          <w:szCs w:val="32"/>
        </w:rPr>
        <w:t>（二）</w:t>
      </w:r>
      <w:r>
        <w:rPr>
          <w:rFonts w:ascii="楷体" w:hAnsi="楷体" w:eastAsia="楷体"/>
          <w:bCs/>
          <w:color w:val="000000"/>
          <w:sz w:val="32"/>
          <w:szCs w:val="32"/>
        </w:rPr>
        <w:t>2020</w:t>
      </w:r>
      <w:r>
        <w:rPr>
          <w:rFonts w:hint="eastAsia" w:ascii="楷体" w:hAnsi="楷体" w:eastAsia="楷体"/>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经济指标稳中向好。全年完成工业总产值12.6亿元、规模工业产值12.1亿，分别同比增长69%、67.2%；基础设施建设投资完成2.5亿元；工业投资完成3.3亿元，同比增长5.8％；升规入统企业3家，规模以上企业总数达10家。</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2.招商引资成效显著。一是拟订了《达川工业园区工业项目入园十条措施》并送区委、区政府审定，实施后园区营商政策优势日益凸出；二是积极参加“中外知名企业四川行”、西博会等招商活动，组织小分队赴广东、福建、重庆等地招商，全年工业企业签约达50亿元以上。引进鸿汇科技、小卫士、启东嘉奥工艺制品公司藤条塑料制品等项目建成投产，年产值净增近3亿元，国信达二期正加快建设；在谈项目天王牧业、丽天牧业、金诚矿业、川浙智慧产业园等达18个，总投资近40亿元。 </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基础建设有序推进。按照区二届五次党代会及《政府工作报告》下达的目标任务，就“两纵六横”道路、北部污水处理厂、企业（便民）服务中心、标准厂房等重点建设项目，实行挂图作战、倒排工期、责任分解到人。“两纵六横”道路全部招标，双木大道、铜钵大道、众志路正式启动建设，建材产业园配套道路货运大道、迎宾大道建成投运；污水处理厂正式投入使用；企业便民服务中心主体工程完工，正实施内、外装饰工程；7.5万平方米标准厂房已完成基础回填，正实施主体一层建设，预计于2021年下半年正式投入使用。</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重点项目加快建设。乌梅小镇项目深加工部分建成厂房1.5万平方米，设备于今年底全部安装到位并试生产，梅花湖、休闲广场已初步成型，场平工作已基本结束。中陶建材项目1000余亩场平全部完工，地下管网安装全部结束，第一条生产线及辅助车间于年底建成；国信达二期已完成方案设计，施工图正在打印，于12月中旬启动建设；电子信息产业园土石方场平工程正开展前期工作，12月中旬正式启动建设。</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服务质量不断提升。一是践行“企业不跑路、我为你服务”承诺，全面推行入园手续代办制，一个项目入驻园区，由一名区级分管领导、一名园区班子成员、3名工作人员组成帮扶小组，全程代办服务。二是新冠疫情后，严格落实“两方案、一报备”制度，搞好人员管控、防疫消杀，帮扶企业尽快复工复产。三是切实解决企业在发展中遇到的困难及问题，特别是资金问题，积极向省、市经信局争取“园保贷”政策，4000万贷款总额已得到省上批复；全年解决企业发展中的困难及问题23项。四是快速落实企业各类优惠政策。</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6.脱贫攻坚全面达标。主要领导亲自部署，分管领导主抓落实，各结对帮扶责任人各司其职，及时入户走访，关心</w:t>
      </w:r>
      <w:r>
        <w:rPr>
          <w:rFonts w:hint="eastAsia" w:ascii="仿宋" w:hAnsi="仿宋" w:eastAsia="仿宋"/>
          <w:bCs/>
          <w:color w:val="000000"/>
          <w:sz w:val="32"/>
          <w:szCs w:val="32"/>
          <w:lang w:eastAsia="zh-CN"/>
        </w:rPr>
        <w:t>贫困</w:t>
      </w:r>
      <w:r>
        <w:rPr>
          <w:rFonts w:hint="eastAsia" w:ascii="仿宋" w:hAnsi="仿宋" w:eastAsia="仿宋"/>
          <w:bCs/>
          <w:color w:val="000000"/>
          <w:sz w:val="32"/>
          <w:szCs w:val="32"/>
        </w:rPr>
        <w:t>户生产生活情况；积极组织单位结对帮扶责任人入户开展“账账相符、账实相符”信息核实，发现问题及时整改；大力开展消费扶贫工作，通过以购代捐等方式购买贫困户及一般农户家禽、粮食、蔬果等农副产品3万余元，促进贫困户及一般农户增收。</w:t>
      </w:r>
    </w:p>
    <w:p>
      <w:pPr>
        <w:pStyle w:val="3"/>
        <w:rPr>
          <w:rStyle w:val="1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达川产业新区管理委员会下属二级单位</w:t>
      </w:r>
      <w:r>
        <w:rPr>
          <w:rFonts w:ascii="仿宋" w:hAnsi="仿宋" w:eastAsia="仿宋"/>
          <w:sz w:val="32"/>
          <w:szCs w:val="32"/>
        </w:rPr>
        <w:t>2</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2</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达川</w:t>
      </w:r>
      <w:r>
        <w:rPr>
          <w:rFonts w:ascii="仿宋" w:hAnsi="仿宋" w:eastAsia="仿宋"/>
          <w:color w:val="000000"/>
          <w:sz w:val="32"/>
          <w:szCs w:val="32"/>
        </w:rPr>
        <w:t>区工业经济发展中心</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达川区</w:t>
      </w:r>
      <w:r>
        <w:rPr>
          <w:rFonts w:ascii="仿宋" w:hAnsi="仿宋" w:eastAsia="仿宋"/>
          <w:color w:val="000000"/>
          <w:sz w:val="32"/>
          <w:szCs w:val="32"/>
        </w:rPr>
        <w:t>中医药产业发展中心</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2020</w:t>
      </w:r>
      <w:r>
        <w:rPr>
          <w:rStyle w:val="17"/>
          <w:rFonts w:hint="eastAsia" w:ascii="黑体" w:hAnsi="黑体" w:eastAsia="黑体"/>
          <w:b w:val="0"/>
          <w:bCs w:val="0"/>
        </w:rPr>
        <w:t>年度部门决算情况说明</w:t>
      </w:r>
      <w:bookmarkEnd w:id="22"/>
      <w:bookmarkEnd w:id="23"/>
    </w:p>
    <w:p/>
    <w:p>
      <w:pPr>
        <w:pStyle w:val="26"/>
        <w:numPr>
          <w:ilvl w:val="0"/>
          <w:numId w:val="2"/>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ascii="仿宋" w:hAnsi="仿宋" w:eastAsia="仿宋"/>
          <w:color w:val="000000"/>
          <w:sz w:val="32"/>
          <w:szCs w:val="32"/>
        </w:rPr>
        <w:t>230</w:t>
      </w:r>
      <w:r>
        <w:rPr>
          <w:rFonts w:hint="eastAsia" w:ascii="仿宋" w:hAnsi="仿宋" w:eastAsia="仿宋"/>
          <w:color w:val="000000"/>
          <w:sz w:val="32"/>
          <w:szCs w:val="32"/>
        </w:rPr>
        <w:t>万元、1</w:t>
      </w:r>
      <w:r>
        <w:rPr>
          <w:rFonts w:ascii="仿宋" w:hAnsi="仿宋" w:eastAsia="仿宋"/>
          <w:color w:val="000000"/>
          <w:sz w:val="32"/>
          <w:szCs w:val="32"/>
        </w:rPr>
        <w:t>9.91万元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年相比，收、支总计各增加</w:t>
      </w:r>
      <w:r>
        <w:rPr>
          <w:rFonts w:ascii="仿宋" w:hAnsi="仿宋" w:eastAsia="仿宋"/>
          <w:color w:val="000000"/>
          <w:sz w:val="32"/>
          <w:szCs w:val="32"/>
        </w:rPr>
        <w:t>230</w:t>
      </w:r>
      <w:r>
        <w:rPr>
          <w:rFonts w:hint="eastAsia" w:ascii="仿宋" w:hAnsi="仿宋" w:eastAsia="仿宋"/>
          <w:color w:val="000000"/>
          <w:sz w:val="32"/>
          <w:szCs w:val="32"/>
        </w:rPr>
        <w:t>万元、1</w:t>
      </w:r>
      <w:r>
        <w:rPr>
          <w:rFonts w:ascii="仿宋" w:hAnsi="仿宋" w:eastAsia="仿宋"/>
          <w:color w:val="000000"/>
          <w:sz w:val="32"/>
          <w:szCs w:val="32"/>
        </w:rPr>
        <w:t>9.91万元</w:t>
      </w:r>
      <w:r>
        <w:rPr>
          <w:rFonts w:hint="eastAsia" w:ascii="仿宋" w:hAnsi="仿宋" w:eastAsia="仿宋"/>
          <w:color w:val="000000"/>
          <w:sz w:val="32"/>
          <w:szCs w:val="32"/>
        </w:rPr>
        <w:t>，增长</w:t>
      </w:r>
      <w:r>
        <w:rPr>
          <w:rFonts w:ascii="仿宋" w:hAnsi="仿宋" w:eastAsia="仿宋"/>
          <w:color w:val="000000"/>
          <w:sz w:val="32"/>
          <w:szCs w:val="32"/>
        </w:rPr>
        <w:t>100%</w:t>
      </w:r>
      <w:r>
        <w:rPr>
          <w:rFonts w:hint="eastAsia" w:ascii="仿宋" w:hAnsi="仿宋" w:eastAsia="仿宋"/>
          <w:color w:val="000000"/>
          <w:sz w:val="32"/>
          <w:szCs w:val="32"/>
        </w:rPr>
        <w:t>。主要变动原因是本单位于2</w:t>
      </w:r>
      <w:r>
        <w:rPr>
          <w:rFonts w:ascii="仿宋" w:hAnsi="仿宋" w:eastAsia="仿宋"/>
          <w:color w:val="000000"/>
          <w:sz w:val="32"/>
          <w:szCs w:val="32"/>
        </w:rPr>
        <w:t>020年成立，</w:t>
      </w:r>
      <w:r>
        <w:rPr>
          <w:rFonts w:hint="eastAsia" w:ascii="仿宋" w:hAnsi="仿宋" w:eastAsia="仿宋"/>
          <w:color w:val="000000"/>
          <w:sz w:val="32"/>
          <w:szCs w:val="32"/>
        </w:rPr>
        <w:t>2</w:t>
      </w:r>
      <w:r>
        <w:rPr>
          <w:rFonts w:ascii="仿宋" w:hAnsi="仿宋" w:eastAsia="仿宋"/>
          <w:color w:val="000000"/>
          <w:sz w:val="32"/>
          <w:szCs w:val="32"/>
        </w:rPr>
        <w:t>019年无收支发生</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1" locked="0" layoutInCell="1" allowOverlap="0">
            <wp:simplePos x="0" y="0"/>
            <wp:positionH relativeFrom="column">
              <wp:posOffset>533400</wp:posOffset>
            </wp:positionH>
            <wp:positionV relativeFrom="paragraph">
              <wp:posOffset>202565</wp:posOffset>
            </wp:positionV>
            <wp:extent cx="3341370" cy="1237615"/>
            <wp:effectExtent l="0" t="0" r="11430" b="635"/>
            <wp:wrapTight wrapText="bothSides">
              <wp:wrapPolygon>
                <wp:start x="0" y="0"/>
                <wp:lineTo x="0" y="21279"/>
                <wp:lineTo x="21551" y="21279"/>
                <wp:lineTo x="21551"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26"/>
        <w:numPr>
          <w:ilvl w:val="0"/>
          <w:numId w:val="2"/>
        </w:numPr>
        <w:spacing w:line="600" w:lineRule="exact"/>
        <w:ind w:firstLineChars="0"/>
        <w:outlineLvl w:val="1"/>
        <w:rPr>
          <w:rStyle w:val="1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230</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30</w:t>
      </w:r>
      <w:r>
        <w:rPr>
          <w:rFonts w:hint="eastAsia" w:ascii="仿宋" w:hAnsi="仿宋" w:eastAsia="仿宋"/>
          <w:color w:val="000000"/>
          <w:sz w:val="32"/>
          <w:szCs w:val="32"/>
        </w:rPr>
        <w:t>万元，占</w:t>
      </w:r>
      <w:r>
        <w:rPr>
          <w:rFonts w:ascii="仿宋" w:hAnsi="仿宋" w:eastAsia="仿宋"/>
          <w:color w:val="000000"/>
          <w:sz w:val="32"/>
          <w:szCs w:val="32"/>
        </w:rPr>
        <w:t>13.04%</w:t>
      </w:r>
      <w:r>
        <w:rPr>
          <w:rFonts w:hint="eastAsia" w:ascii="仿宋" w:hAnsi="仿宋" w:eastAsia="仿宋"/>
          <w:color w:val="000000"/>
          <w:sz w:val="32"/>
          <w:szCs w:val="32"/>
        </w:rPr>
        <w:t>；政府性基金预算财政拨款收入</w:t>
      </w:r>
      <w:r>
        <w:rPr>
          <w:rFonts w:ascii="仿宋" w:hAnsi="仿宋" w:eastAsia="仿宋"/>
          <w:color w:val="000000"/>
          <w:sz w:val="32"/>
          <w:szCs w:val="32"/>
        </w:rPr>
        <w:t>200</w:t>
      </w:r>
      <w:r>
        <w:rPr>
          <w:rFonts w:hint="eastAsia" w:ascii="仿宋" w:hAnsi="仿宋" w:eastAsia="仿宋"/>
          <w:color w:val="000000"/>
          <w:sz w:val="32"/>
          <w:szCs w:val="32"/>
        </w:rPr>
        <w:t>万元，占</w:t>
      </w:r>
      <w:r>
        <w:rPr>
          <w:rFonts w:ascii="仿宋" w:hAnsi="仿宋" w:eastAsia="仿宋"/>
          <w:color w:val="000000"/>
          <w:sz w:val="32"/>
          <w:szCs w:val="32"/>
        </w:rPr>
        <w:t>86.96%</w:t>
      </w:r>
      <w:r>
        <w:rPr>
          <w:rFonts w:hint="eastAsia" w:ascii="仿宋" w:hAnsi="仿宋" w:eastAsia="仿宋"/>
          <w:color w:val="000000"/>
          <w:sz w:val="32"/>
          <w:szCs w:val="32"/>
        </w:rPr>
        <w:t>。</w:t>
      </w:r>
    </w:p>
    <w:p>
      <w:pPr>
        <w:spacing w:line="600" w:lineRule="exact"/>
        <w:ind w:firstLine="643" w:firstLineChars="200"/>
        <w:outlineLvl w:val="1"/>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w:t>
      </w:r>
      <w:r>
        <w:rPr>
          <w:rFonts w:hint="eastAsia" w:ascii="仿宋" w:hAnsi="仿宋" w:eastAsia="仿宋"/>
          <w:b/>
          <w:color w:val="FF0000"/>
          <w:sz w:val="32"/>
          <w:szCs w:val="32"/>
        </w:rPr>
        <w:t>表）</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429260</wp:posOffset>
            </wp:positionH>
            <wp:positionV relativeFrom="paragraph">
              <wp:posOffset>122555</wp:posOffset>
            </wp:positionV>
            <wp:extent cx="3450590" cy="1380490"/>
            <wp:effectExtent l="0" t="0" r="17145" b="1016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pStyle w:val="26"/>
        <w:numPr>
          <w:ilvl w:val="0"/>
          <w:numId w:val="2"/>
        </w:numPr>
        <w:spacing w:line="600" w:lineRule="exact"/>
        <w:ind w:firstLineChars="0"/>
        <w:outlineLvl w:val="1"/>
        <w:rPr>
          <w:rStyle w:val="1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19.91</w:t>
      </w:r>
      <w:r>
        <w:rPr>
          <w:rFonts w:hint="eastAsia" w:ascii="仿宋" w:hAnsi="仿宋" w:eastAsia="仿宋"/>
          <w:color w:val="000000"/>
          <w:sz w:val="32"/>
          <w:szCs w:val="32"/>
        </w:rPr>
        <w:t>万元，其中：基本支出</w:t>
      </w:r>
      <w:r>
        <w:rPr>
          <w:rFonts w:ascii="仿宋" w:hAnsi="仿宋" w:eastAsia="仿宋"/>
          <w:color w:val="000000"/>
          <w:sz w:val="32"/>
          <w:szCs w:val="32"/>
        </w:rPr>
        <w:t>19.91</w:t>
      </w:r>
      <w:r>
        <w:rPr>
          <w:rFonts w:hint="eastAsia" w:ascii="仿宋" w:hAnsi="仿宋" w:eastAsia="仿宋"/>
          <w:color w:val="000000"/>
          <w:sz w:val="32"/>
          <w:szCs w:val="32"/>
        </w:rPr>
        <w:t>万元，占</w:t>
      </w:r>
      <w:r>
        <w:rPr>
          <w:rFonts w:ascii="仿宋" w:hAnsi="仿宋" w:eastAsia="仿宋"/>
          <w:color w:val="000000"/>
          <w:sz w:val="32"/>
          <w:szCs w:val="32"/>
        </w:rPr>
        <w:t>66.36%</w:t>
      </w:r>
      <w:r>
        <w:rPr>
          <w:rFonts w:hint="eastAsia" w:ascii="仿宋" w:hAnsi="仿宋" w:eastAsia="仿宋"/>
          <w:color w:val="000000"/>
          <w:sz w:val="32"/>
          <w:szCs w:val="32"/>
        </w:rPr>
        <w:t>；项目支出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p>
    <w:p>
      <w:pPr>
        <w:spacing w:line="600" w:lineRule="exact"/>
        <w:ind w:firstLine="643" w:firstLineChars="200"/>
        <w:outlineLvl w:val="1"/>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shd w:val="pct10" w:color="auto" w:fill="FFFFFF"/>
        </w:rPr>
        <w:drawing>
          <wp:anchor distT="0" distB="0" distL="114300" distR="114300" simplePos="0" relativeHeight="251661312" behindDoc="1" locked="0" layoutInCell="1" allowOverlap="1">
            <wp:simplePos x="0" y="0"/>
            <wp:positionH relativeFrom="column">
              <wp:posOffset>899160</wp:posOffset>
            </wp:positionH>
            <wp:positionV relativeFrom="paragraph">
              <wp:posOffset>127000</wp:posOffset>
            </wp:positionV>
            <wp:extent cx="3333750" cy="1613535"/>
            <wp:effectExtent l="0" t="0" r="0" b="571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年财政拨款收入2</w:t>
      </w:r>
      <w:r>
        <w:rPr>
          <w:rFonts w:ascii="仿宋" w:hAnsi="仿宋" w:eastAsia="仿宋"/>
          <w:color w:val="000000"/>
          <w:sz w:val="32"/>
          <w:szCs w:val="32"/>
        </w:rPr>
        <w:t>30万元</w:t>
      </w:r>
      <w:r>
        <w:rPr>
          <w:rFonts w:hint="eastAsia" w:ascii="仿宋" w:hAnsi="仿宋" w:eastAsia="仿宋"/>
          <w:color w:val="000000"/>
          <w:sz w:val="32"/>
          <w:szCs w:val="32"/>
        </w:rPr>
        <w:t>、支出1</w:t>
      </w:r>
      <w:r>
        <w:rPr>
          <w:rFonts w:ascii="仿宋" w:hAnsi="仿宋" w:eastAsia="仿宋"/>
          <w:color w:val="000000"/>
          <w:sz w:val="32"/>
          <w:szCs w:val="32"/>
        </w:rPr>
        <w:t>9.91万元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w:t>
      </w:r>
      <w:r>
        <w:rPr>
          <w:rFonts w:ascii="仿宋" w:hAnsi="仿宋" w:eastAsia="仿宋"/>
          <w:color w:val="000000"/>
          <w:sz w:val="32"/>
          <w:szCs w:val="32"/>
        </w:rPr>
        <w:t>230</w:t>
      </w:r>
      <w:r>
        <w:rPr>
          <w:rFonts w:hint="eastAsia" w:ascii="仿宋" w:hAnsi="仿宋" w:eastAsia="仿宋"/>
          <w:color w:val="000000"/>
          <w:sz w:val="32"/>
          <w:szCs w:val="32"/>
        </w:rPr>
        <w:t>万元、1</w:t>
      </w:r>
      <w:r>
        <w:rPr>
          <w:rFonts w:ascii="仿宋" w:hAnsi="仿宋" w:eastAsia="仿宋"/>
          <w:color w:val="000000"/>
          <w:sz w:val="32"/>
          <w:szCs w:val="32"/>
        </w:rPr>
        <w:t>9.91万元</w:t>
      </w:r>
      <w:r>
        <w:rPr>
          <w:rFonts w:hint="eastAsia" w:ascii="仿宋" w:hAnsi="仿宋" w:eastAsia="仿宋"/>
          <w:color w:val="000000"/>
          <w:sz w:val="32"/>
          <w:szCs w:val="32"/>
        </w:rPr>
        <w:t>，增长</w:t>
      </w:r>
      <w:r>
        <w:rPr>
          <w:rFonts w:ascii="仿宋" w:hAnsi="仿宋" w:eastAsia="仿宋"/>
          <w:color w:val="000000"/>
          <w:sz w:val="32"/>
          <w:szCs w:val="32"/>
        </w:rPr>
        <w:t>100%</w:t>
      </w:r>
      <w:r>
        <w:rPr>
          <w:rFonts w:hint="eastAsia" w:ascii="仿宋" w:hAnsi="仿宋" w:eastAsia="仿宋"/>
          <w:color w:val="000000"/>
          <w:sz w:val="32"/>
          <w:szCs w:val="32"/>
        </w:rPr>
        <w:t>。主要变动原因是本单位于2</w:t>
      </w:r>
      <w:r>
        <w:rPr>
          <w:rFonts w:ascii="仿宋" w:hAnsi="仿宋" w:eastAsia="仿宋"/>
          <w:color w:val="000000"/>
          <w:sz w:val="32"/>
          <w:szCs w:val="32"/>
        </w:rPr>
        <w:t>020年成立，</w:t>
      </w:r>
      <w:r>
        <w:rPr>
          <w:rFonts w:hint="eastAsia" w:ascii="仿宋" w:hAnsi="仿宋" w:eastAsia="仿宋"/>
          <w:color w:val="000000"/>
          <w:sz w:val="32"/>
          <w:szCs w:val="32"/>
        </w:rPr>
        <w:t>2</w:t>
      </w:r>
      <w:r>
        <w:rPr>
          <w:rFonts w:ascii="仿宋" w:hAnsi="仿宋" w:eastAsia="仿宋"/>
          <w:color w:val="000000"/>
          <w:sz w:val="32"/>
          <w:szCs w:val="32"/>
        </w:rPr>
        <w:t>019年无收支</w:t>
      </w:r>
      <w:r>
        <w:rPr>
          <w:rFonts w:hint="eastAsia" w:ascii="仿宋" w:hAnsi="仿宋" w:eastAsia="仿宋"/>
          <w:color w:val="000000"/>
          <w:sz w:val="32"/>
          <w:szCs w:val="32"/>
        </w:rPr>
        <w:t>发生。</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（注：除国有资本经营预算外，数据来源于财决</w:t>
      </w:r>
      <w:r>
        <w:rPr>
          <w:rFonts w:ascii="仿宋" w:hAnsi="仿宋" w:eastAsia="仿宋"/>
          <w:b/>
          <w:color w:val="FF0000"/>
          <w:sz w:val="32"/>
          <w:szCs w:val="32"/>
        </w:rPr>
        <w:t>Z01-1</w:t>
      </w:r>
      <w:r>
        <w:rPr>
          <w:rFonts w:hint="eastAsia" w:ascii="仿宋" w:hAnsi="仿宋" w:eastAsia="仿宋"/>
          <w:b/>
          <w:color w:val="FF0000"/>
          <w:sz w:val="32"/>
          <w:szCs w:val="32"/>
        </w:rPr>
        <w:t>表，口径为“总计”数</w:t>
      </w:r>
      <w:r>
        <w:rPr>
          <w:rFonts w:ascii="仿宋" w:hAnsi="仿宋" w:eastAsia="仿宋"/>
          <w:b/>
          <w:color w:val="FF0000"/>
          <w:sz w:val="32"/>
          <w:szCs w:val="32"/>
        </w:rPr>
        <w:t>+</w:t>
      </w:r>
      <w:r>
        <w:rPr>
          <w:rFonts w:hint="eastAsia" w:ascii="仿宋" w:hAnsi="仿宋" w:eastAsia="仿宋"/>
          <w:b/>
          <w:color w:val="FF0000"/>
          <w:sz w:val="32"/>
          <w:szCs w:val="32"/>
        </w:rPr>
        <w:t>国有资本经营预算。）</w:t>
      </w:r>
    </w:p>
    <w:p>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1" locked="0" layoutInCell="1" allowOverlap="0">
            <wp:simplePos x="0" y="0"/>
            <wp:positionH relativeFrom="column">
              <wp:posOffset>614680</wp:posOffset>
            </wp:positionH>
            <wp:positionV relativeFrom="paragraph">
              <wp:posOffset>75565</wp:posOffset>
            </wp:positionV>
            <wp:extent cx="3341370" cy="1278255"/>
            <wp:effectExtent l="0" t="0" r="11430" b="17145"/>
            <wp:wrapTight wrapText="bothSides">
              <wp:wrapPolygon>
                <wp:start x="0" y="0"/>
                <wp:lineTo x="0" y="21568"/>
                <wp:lineTo x="21551" y="21568"/>
                <wp:lineTo x="21551"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firstLineChars="200"/>
        <w:outlineLvl w:val="1"/>
        <w:rPr>
          <w:rStyle w:val="1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19.91</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19.91</w:t>
      </w:r>
      <w:r>
        <w:rPr>
          <w:rFonts w:hint="eastAsia" w:ascii="仿宋" w:hAnsi="仿宋" w:eastAsia="仿宋"/>
          <w:color w:val="000000"/>
          <w:sz w:val="32"/>
          <w:szCs w:val="32"/>
        </w:rPr>
        <w:t>万元，增长</w:t>
      </w:r>
      <w:r>
        <w:rPr>
          <w:rFonts w:ascii="仿宋" w:hAnsi="仿宋" w:eastAsia="仿宋"/>
          <w:color w:val="000000"/>
          <w:sz w:val="32"/>
          <w:szCs w:val="32"/>
        </w:rPr>
        <w:t>100%</w:t>
      </w:r>
      <w:r>
        <w:rPr>
          <w:rFonts w:hint="eastAsia" w:ascii="仿宋" w:hAnsi="仿宋" w:eastAsia="仿宋"/>
          <w:color w:val="000000"/>
          <w:sz w:val="32"/>
          <w:szCs w:val="32"/>
        </w:rPr>
        <w:t>。主要变动原因是本单位于2</w:t>
      </w:r>
      <w:r>
        <w:rPr>
          <w:rFonts w:ascii="仿宋" w:hAnsi="仿宋" w:eastAsia="仿宋"/>
          <w:color w:val="000000"/>
          <w:sz w:val="32"/>
          <w:szCs w:val="32"/>
        </w:rPr>
        <w:t>020年成立，</w:t>
      </w:r>
      <w:r>
        <w:rPr>
          <w:rFonts w:hint="eastAsia" w:ascii="仿宋" w:hAnsi="仿宋" w:eastAsia="仿宋"/>
          <w:color w:val="000000"/>
          <w:sz w:val="32"/>
          <w:szCs w:val="32"/>
        </w:rPr>
        <w:t>2</w:t>
      </w:r>
      <w:r>
        <w:rPr>
          <w:rFonts w:ascii="仿宋" w:hAnsi="仿宋" w:eastAsia="仿宋"/>
          <w:color w:val="000000"/>
          <w:sz w:val="32"/>
          <w:szCs w:val="32"/>
        </w:rPr>
        <w:t>019年无收支</w:t>
      </w:r>
      <w:r>
        <w:rPr>
          <w:rFonts w:hint="eastAsia" w:ascii="仿宋" w:hAnsi="仿宋" w:eastAsia="仿宋"/>
          <w:color w:val="000000"/>
          <w:sz w:val="32"/>
          <w:szCs w:val="32"/>
        </w:rPr>
        <w:t>发生。</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1" locked="0" layoutInCell="1" allowOverlap="0">
            <wp:simplePos x="0" y="0"/>
            <wp:positionH relativeFrom="column">
              <wp:posOffset>1041400</wp:posOffset>
            </wp:positionH>
            <wp:positionV relativeFrom="paragraph">
              <wp:posOffset>30480</wp:posOffset>
            </wp:positionV>
            <wp:extent cx="3341370" cy="1447800"/>
            <wp:effectExtent l="0" t="0" r="11430" b="0"/>
            <wp:wrapTight wrapText="bothSides">
              <wp:wrapPolygon>
                <wp:start x="0" y="0"/>
                <wp:lineTo x="0" y="21316"/>
                <wp:lineTo x="21551" y="21316"/>
                <wp:lineTo x="21551" y="0"/>
                <wp:lineTo x="0"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19.91</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城乡社区（类）</w:t>
      </w:r>
      <w:r>
        <w:rPr>
          <w:rFonts w:hint="eastAsia" w:ascii="仿宋" w:hAnsi="仿宋" w:eastAsia="仿宋"/>
          <w:color w:val="000000"/>
          <w:sz w:val="32"/>
          <w:szCs w:val="32"/>
        </w:rPr>
        <w:t>支出</w:t>
      </w:r>
      <w:r>
        <w:rPr>
          <w:rFonts w:ascii="仿宋" w:hAnsi="仿宋" w:eastAsia="仿宋"/>
          <w:color w:val="000000"/>
          <w:sz w:val="32"/>
          <w:szCs w:val="32"/>
        </w:rPr>
        <w:t>19.91</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。未发生其他类支出。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614680</wp:posOffset>
            </wp:positionH>
            <wp:positionV relativeFrom="paragraph">
              <wp:posOffset>66040</wp:posOffset>
            </wp:positionV>
            <wp:extent cx="3267710" cy="902335"/>
            <wp:effectExtent l="0" t="0" r="8890" b="1206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19.91</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66.37%</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城乡社区支出（类）城乡社区</w:t>
      </w:r>
      <w:r>
        <w:rPr>
          <w:rStyle w:val="14"/>
          <w:rFonts w:ascii="仿宋" w:hAnsi="仿宋" w:eastAsia="仿宋"/>
          <w:bCs/>
          <w:color w:val="000000"/>
          <w:sz w:val="32"/>
          <w:szCs w:val="32"/>
        </w:rPr>
        <w:t>管理事务</w:t>
      </w:r>
      <w:r>
        <w:rPr>
          <w:rStyle w:val="14"/>
          <w:rFonts w:hint="eastAsia" w:ascii="仿宋" w:hAnsi="仿宋" w:eastAsia="仿宋"/>
          <w:bCs/>
          <w:color w:val="000000"/>
          <w:sz w:val="32"/>
          <w:szCs w:val="32"/>
        </w:rPr>
        <w:t>（款）行政</w:t>
      </w:r>
      <w:r>
        <w:rPr>
          <w:rStyle w:val="14"/>
          <w:rFonts w:ascii="仿宋" w:hAnsi="仿宋" w:eastAsia="仿宋"/>
          <w:bCs/>
          <w:color w:val="000000"/>
          <w:sz w:val="32"/>
          <w:szCs w:val="32"/>
        </w:rPr>
        <w:t>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19.91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66.37%</w:t>
      </w:r>
      <w:r>
        <w:rPr>
          <w:rStyle w:val="14"/>
          <w:rFonts w:hint="eastAsia" w:ascii="仿宋" w:hAnsi="仿宋" w:eastAsia="仿宋"/>
          <w:b w:val="0"/>
          <w:bCs/>
          <w:color w:val="000000"/>
          <w:sz w:val="32"/>
          <w:szCs w:val="32"/>
        </w:rPr>
        <w:t>，决算数小于预算数的主要原因是结余结转下年使用。</w:t>
      </w: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19.91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3.49</w:t>
      </w:r>
      <w:r>
        <w:rPr>
          <w:rFonts w:hint="eastAsia" w:ascii="仿宋" w:hAnsi="仿宋" w:eastAsia="仿宋"/>
          <w:color w:val="000000"/>
          <w:sz w:val="32"/>
          <w:szCs w:val="32"/>
        </w:rPr>
        <w:t>万元，主要包括：津贴补贴、伙食补助费、其他工资福利支出等。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ascii="仿宋" w:hAnsi="仿宋" w:eastAsia="仿宋"/>
          <w:color w:val="000000"/>
          <w:sz w:val="32"/>
          <w:szCs w:val="32"/>
        </w:rPr>
        <w:t>16.42</w:t>
      </w:r>
      <w:r>
        <w:rPr>
          <w:rFonts w:hint="eastAsia" w:ascii="仿宋" w:hAnsi="仿宋" w:eastAsia="仿宋"/>
          <w:color w:val="000000"/>
          <w:sz w:val="32"/>
          <w:szCs w:val="32"/>
        </w:rPr>
        <w:t>万元，主要包括：办公费、邮电费、差旅费、维修（护）费、租赁费、会议费、工会经费、其他交通费、其他商品和服务支出、办公设备购置、其他资本性支出等。</w:t>
      </w:r>
    </w:p>
    <w:p>
      <w:pPr>
        <w:spacing w:line="600" w:lineRule="exact"/>
        <w:ind w:firstLine="645"/>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07</w:t>
      </w:r>
      <w:r>
        <w:rPr>
          <w:rFonts w:hint="eastAsia" w:ascii="仿宋" w:hAnsi="仿宋" w:eastAsia="仿宋"/>
          <w:b/>
          <w:color w:val="FF0000"/>
          <w:sz w:val="32"/>
          <w:szCs w:val="32"/>
        </w:rPr>
        <w:t>表）</w:t>
      </w:r>
    </w:p>
    <w:p>
      <w:pPr>
        <w:spacing w:line="600" w:lineRule="exact"/>
        <w:ind w:firstLine="640"/>
        <w:outlineLvl w:val="1"/>
        <w:rPr>
          <w:rStyle w:val="1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outlineLvl w:val="1"/>
        <w:rPr>
          <w:rStyle w:val="18"/>
          <w:rFonts w:ascii="黑体" w:hAnsi="黑体" w:eastAsia="黑体"/>
        </w:rPr>
      </w:pPr>
      <w:bookmarkStart w:id="44" w:name="_Toc15396610"/>
      <w:bookmarkStart w:id="45" w:name="_Toc15377218"/>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bookmarkStart w:id="46" w:name="_Toc15377219"/>
      <w:bookmarkStart w:id="47" w:name="_Toc15396611"/>
      <w:r>
        <w:rPr>
          <w:rFonts w:hint="eastAsia" w:ascii="仿宋_GB2312" w:eastAsia="仿宋_GB2312"/>
          <w:color w:val="000000"/>
          <w:sz w:val="32"/>
          <w:szCs w:val="32"/>
        </w:rPr>
        <w:t>结余结转下年2</w:t>
      </w:r>
      <w:r>
        <w:rPr>
          <w:rFonts w:ascii="仿宋_GB2312" w:eastAsia="仿宋_GB2312"/>
          <w:color w:val="000000"/>
          <w:sz w:val="32"/>
          <w:szCs w:val="32"/>
        </w:rPr>
        <w:t>00万元。</w:t>
      </w:r>
    </w:p>
    <w:p>
      <w:pPr>
        <w:spacing w:line="600" w:lineRule="exact"/>
        <w:ind w:firstLine="640"/>
        <w:rPr>
          <w:rStyle w:val="18"/>
          <w:rFonts w:ascii="黑体" w:hAnsi="黑体" w:eastAsia="黑体"/>
          <w:b w:val="0"/>
        </w:rPr>
      </w:pPr>
      <w:r>
        <w:rPr>
          <w:rStyle w:val="18"/>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800" w:firstLineChars="250"/>
        <w:outlineLvl w:val="1"/>
        <w:rPr>
          <w:rStyle w:val="18"/>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年，本单位机关运行经费支出</w:t>
      </w:r>
      <w:r>
        <w:rPr>
          <w:rFonts w:ascii="仿宋_GB2312" w:eastAsia="仿宋_GB2312"/>
          <w:color w:val="000000"/>
          <w:sz w:val="32"/>
          <w:szCs w:val="32"/>
        </w:rPr>
        <w:t>16.42</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ascii="仿宋_GB2312" w:eastAsia="仿宋_GB2312"/>
          <w:color w:val="000000"/>
          <w:sz w:val="32"/>
          <w:szCs w:val="32"/>
        </w:rPr>
        <w:t>16.42</w:t>
      </w:r>
      <w:r>
        <w:rPr>
          <w:rFonts w:hint="eastAsia" w:ascii="仿宋_GB2312" w:eastAsia="仿宋_GB2312"/>
          <w:color w:val="000000"/>
          <w:sz w:val="32"/>
          <w:szCs w:val="32"/>
        </w:rPr>
        <w:t>万元，增长</w:t>
      </w:r>
      <w:r>
        <w:rPr>
          <w:rFonts w:ascii="仿宋_GB2312" w:eastAsia="仿宋_GB2312"/>
          <w:color w:val="000000"/>
          <w:sz w:val="32"/>
          <w:szCs w:val="32"/>
        </w:rPr>
        <w:t>100%，</w:t>
      </w:r>
      <w:r>
        <w:rPr>
          <w:rFonts w:hint="eastAsia" w:ascii="仿宋_GB2312" w:eastAsia="仿宋_GB2312"/>
          <w:color w:val="000000"/>
          <w:sz w:val="32"/>
          <w:szCs w:val="32"/>
        </w:rPr>
        <w:t>主要原因是本单位于2020年成立，2019年无支出发生。</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年，本单位政府采购支出总额</w:t>
      </w:r>
      <w:r>
        <w:rPr>
          <w:rFonts w:ascii="仿宋_GB2312" w:eastAsia="仿宋_GB2312"/>
          <w:color w:val="000000"/>
          <w:sz w:val="32"/>
          <w:szCs w:val="32"/>
        </w:rPr>
        <w:t>1.94</w:t>
      </w:r>
      <w:r>
        <w:rPr>
          <w:rFonts w:hint="eastAsia" w:ascii="仿宋_GB2312" w:eastAsia="仿宋_GB2312"/>
          <w:color w:val="000000"/>
          <w:sz w:val="32"/>
          <w:szCs w:val="32"/>
        </w:rPr>
        <w:t>万元，其中：政府采购货物支出</w:t>
      </w:r>
      <w:r>
        <w:rPr>
          <w:rFonts w:ascii="仿宋_GB2312" w:eastAsia="仿宋_GB2312"/>
          <w:color w:val="000000"/>
          <w:sz w:val="32"/>
          <w:szCs w:val="32"/>
        </w:rPr>
        <w:t>1.94</w:t>
      </w:r>
      <w:r>
        <w:rPr>
          <w:rFonts w:hint="eastAsia" w:ascii="仿宋_GB2312" w:eastAsia="仿宋_GB2312"/>
          <w:color w:val="000000"/>
          <w:sz w:val="32"/>
          <w:szCs w:val="32"/>
        </w:rPr>
        <w:t>万元，主要用于采购</w:t>
      </w:r>
      <w:r>
        <w:rPr>
          <w:rFonts w:ascii="仿宋_GB2312" w:eastAsia="仿宋_GB2312"/>
          <w:color w:val="000000"/>
          <w:sz w:val="32"/>
          <w:szCs w:val="32"/>
        </w:rPr>
        <w:t>办公设备</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w:t>
      </w:r>
      <w:r>
        <w:rPr>
          <w:rFonts w:ascii="仿宋_GB2312" w:eastAsia="仿宋_GB2312"/>
          <w:color w:val="000000"/>
          <w:sz w:val="32"/>
          <w:szCs w:val="32"/>
        </w:rPr>
        <w:t>单位</w:t>
      </w:r>
      <w:r>
        <w:rPr>
          <w:rFonts w:hint="eastAsia" w:ascii="仿宋_GB2312" w:eastAsia="仿宋_GB2312"/>
          <w:color w:val="000000"/>
          <w:sz w:val="32"/>
          <w:szCs w:val="32"/>
        </w:rPr>
        <w:t>共有车辆</w:t>
      </w:r>
      <w:r>
        <w:rPr>
          <w:rFonts w:ascii="仿宋_GB2312" w:eastAsia="仿宋_GB2312"/>
          <w:color w:val="000000"/>
          <w:sz w:val="32"/>
          <w:szCs w:val="32"/>
        </w:rPr>
        <w:t>0</w:t>
      </w:r>
      <w:r>
        <w:rPr>
          <w:rFonts w:hint="eastAsia" w:ascii="仿宋_GB2312" w:eastAsia="仿宋_GB2312"/>
          <w:color w:val="000000"/>
          <w:sz w:val="32"/>
          <w:szCs w:val="32"/>
        </w:rPr>
        <w:t>辆。</w:t>
      </w:r>
    </w:p>
    <w:p>
      <w:pPr>
        <w:autoSpaceDE w:val="0"/>
        <w:autoSpaceDN w:val="0"/>
        <w:adjustRightInd w:val="0"/>
        <w:spacing w:line="600" w:lineRule="exact"/>
        <w:ind w:firstLine="643" w:firstLineChars="200"/>
        <w:jc w:val="left"/>
        <w:rPr>
          <w:rFonts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根据预算绩效管理要求，本单位在年初预算编制阶段，组织对“园保贷”园区风险补偿金项目开展了预算事前绩效评估，编制了绩效目标，预算执行过程中，开展绩效监控，年终执行完毕后，对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园保贷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配套风险补偿金项目开展了绩效目标完成情况自评。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年部门整体支出开展绩效自评，从评价情况来看总体看，我单位预算编制及执行决算较为准确，支出管理较为规范，财务管理制度较完善，部门整体绩效较好。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本部门还自行组织了对“园保贷”配套风险金项目支出绩效评价，从评价情况来看“园保贷”配套风险补偿金项目，有效解决了我区微小企业贷款难的问题，为我区企业的发展起到了积极促进作用。</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年度部门决算中反映“园保贷”配套风险补偿金项目绩效目标实际完成情况。项目全年预算数</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。通过项目实施，有效解决了我区微小企业贷款难的问题，为我区企业的发展起到了积极促进作用。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发现的主要问题：园区部份企业没有资产抵押，不符合“园保贷”合作银行贷款条件，导致不能取得“园保贷”项目贷款。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下一步改进措施：修订《达川区“园保贷”管理实施办法》，扩大“园保贷”项目资金适用企业范围，适当降低“园保贷”项目贷款条件，更好地服务全区中小微企业，使其发挥更大的经济效益和社会效益。</w:t>
      </w: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2391"/>
        <w:gridCol w:w="2393"/>
        <w:gridCol w:w="4786"/>
        <w:gridCol w:w="69"/>
        <w:gridCol w:w="321"/>
      </w:tblGrid>
      <w:tr>
        <w:tblPrEx>
          <w:tblCellMar>
            <w:top w:w="0" w:type="dxa"/>
            <w:left w:w="0" w:type="dxa"/>
            <w:bottom w:w="0" w:type="dxa"/>
            <w:right w:w="0" w:type="dxa"/>
          </w:tblCellMar>
        </w:tblPrEx>
        <w:trPr>
          <w:trHeight w:val="1034" w:hRule="atLeast"/>
          <w:jc w:val="center"/>
        </w:trPr>
        <w:tc>
          <w:tcPr>
            <w:tcW w:w="9960"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gridAfter w:val="1"/>
          <w:wAfter w:w="321" w:type="dxa"/>
          <w:trHeight w:val="276" w:hRule="atLeast"/>
          <w:jc w:val="center"/>
        </w:trPr>
        <w:tc>
          <w:tcPr>
            <w:tcW w:w="96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“园保贷”</w:t>
            </w:r>
            <w:r>
              <w:rPr>
                <w:rFonts w:hint="eastAsia" w:ascii="宋体" w:cs="宋体"/>
                <w:color w:val="000000"/>
                <w:sz w:val="24"/>
              </w:rPr>
              <w:t>项目园区配套风险</w:t>
            </w:r>
            <w:r>
              <w:rPr>
                <w:rFonts w:ascii="宋体" w:cs="宋体"/>
                <w:color w:val="000000"/>
                <w:sz w:val="24"/>
              </w:rPr>
              <w:t>补偿金</w:t>
            </w:r>
          </w:p>
        </w:tc>
      </w:tr>
      <w:tr>
        <w:tblPrEx>
          <w:tblCellMar>
            <w:top w:w="0" w:type="dxa"/>
            <w:left w:w="0" w:type="dxa"/>
            <w:bottom w:w="0" w:type="dxa"/>
            <w:right w:w="0" w:type="dxa"/>
          </w:tblCellMar>
        </w:tblPrEx>
        <w:trPr>
          <w:gridAfter w:val="1"/>
          <w:wAfter w:w="321" w:type="dxa"/>
          <w:trHeight w:val="276" w:hRule="atLeast"/>
          <w:jc w:val="center"/>
        </w:trPr>
        <w:tc>
          <w:tcPr>
            <w:tcW w:w="96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达川产业新区管理委员会</w:t>
            </w:r>
          </w:p>
        </w:tc>
      </w:tr>
      <w:tr>
        <w:tblPrEx>
          <w:tblCellMar>
            <w:top w:w="0" w:type="dxa"/>
            <w:left w:w="0" w:type="dxa"/>
            <w:bottom w:w="0" w:type="dxa"/>
            <w:right w:w="0" w:type="dxa"/>
          </w:tblCellMar>
        </w:tblPrEx>
        <w:trPr>
          <w:gridAfter w:val="1"/>
          <w:wAfter w:w="321" w:type="dxa"/>
          <w:trHeight w:val="276" w:hRule="atLeast"/>
          <w:jc w:val="center"/>
        </w:trPr>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w:t>
            </w:r>
            <w:r>
              <w:rPr>
                <w:rFonts w:ascii="宋体" w:cs="宋体"/>
                <w:color w:val="000000"/>
                <w:sz w:val="24"/>
              </w:rPr>
              <w:t>万元</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48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w:t>
            </w:r>
            <w:r>
              <w:rPr>
                <w:rFonts w:ascii="宋体" w:cs="宋体"/>
                <w:color w:val="000000"/>
                <w:sz w:val="24"/>
              </w:rPr>
              <w:t>00万元</w:t>
            </w:r>
          </w:p>
        </w:tc>
      </w:tr>
      <w:tr>
        <w:tblPrEx>
          <w:tblCellMar>
            <w:top w:w="0" w:type="dxa"/>
            <w:left w:w="0" w:type="dxa"/>
            <w:bottom w:w="0" w:type="dxa"/>
            <w:right w:w="0" w:type="dxa"/>
          </w:tblCellMar>
        </w:tblPrEx>
        <w:trPr>
          <w:gridAfter w:val="1"/>
          <w:wAfter w:w="321" w:type="dxa"/>
          <w:trHeight w:val="276" w:hRule="atLeast"/>
          <w:jc w:val="center"/>
        </w:trPr>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200万元</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48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200万元</w:t>
            </w:r>
          </w:p>
        </w:tc>
      </w:tr>
      <w:tr>
        <w:tblPrEx>
          <w:tblCellMar>
            <w:top w:w="0" w:type="dxa"/>
            <w:left w:w="0" w:type="dxa"/>
            <w:bottom w:w="0" w:type="dxa"/>
            <w:right w:w="0" w:type="dxa"/>
          </w:tblCellMar>
        </w:tblPrEx>
        <w:trPr>
          <w:gridAfter w:val="1"/>
          <w:wAfter w:w="321" w:type="dxa"/>
          <w:trHeight w:val="1511" w:hRule="atLeast"/>
          <w:jc w:val="center"/>
        </w:trPr>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48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gridAfter w:val="2"/>
          <w:wAfter w:w="390" w:type="dxa"/>
          <w:trHeight w:val="276" w:hRule="atLeast"/>
          <w:jc w:val="center"/>
        </w:trPr>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gridAfter w:val="2"/>
          <w:wAfter w:w="390" w:type="dxa"/>
          <w:trHeight w:val="1159" w:hRule="atLeast"/>
          <w:jc w:val="center"/>
        </w:trPr>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为建立政府支持，产业园区贷款风险补偿机制，进一步缓减园区企业融资难、融资贵的问题。</w:t>
            </w:r>
          </w:p>
        </w:tc>
        <w:tc>
          <w:tcPr>
            <w:tcW w:w="4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按要求已完成“园保贷”园区配套风险金配套工作。</w:t>
            </w:r>
          </w:p>
        </w:tc>
      </w:tr>
      <w:tr>
        <w:tblPrEx>
          <w:tblCellMar>
            <w:top w:w="0" w:type="dxa"/>
            <w:left w:w="0" w:type="dxa"/>
            <w:bottom w:w="0" w:type="dxa"/>
            <w:right w:w="0" w:type="dxa"/>
          </w:tblCellMar>
        </w:tblPrEx>
        <w:trPr>
          <w:gridAfter w:val="1"/>
          <w:wAfter w:w="321" w:type="dxa"/>
          <w:trHeight w:val="1042" w:hRule="atLeast"/>
          <w:jc w:val="center"/>
        </w:trPr>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48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gridAfter w:val="1"/>
          <w:wAfter w:w="321" w:type="dxa"/>
          <w:trHeight w:val="709" w:hRule="atLeast"/>
          <w:jc w:val="center"/>
        </w:trPr>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完成时间</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12月底前</w:t>
            </w:r>
          </w:p>
        </w:tc>
        <w:tc>
          <w:tcPr>
            <w:tcW w:w="48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12月前已纳入“园保贷”试点。</w:t>
            </w:r>
          </w:p>
        </w:tc>
      </w:tr>
      <w:tr>
        <w:tblPrEx>
          <w:tblCellMar>
            <w:top w:w="0" w:type="dxa"/>
            <w:left w:w="0" w:type="dxa"/>
            <w:bottom w:w="0" w:type="dxa"/>
            <w:right w:w="0" w:type="dxa"/>
          </w:tblCellMar>
        </w:tblPrEx>
        <w:trPr>
          <w:gridAfter w:val="1"/>
          <w:wAfter w:w="321" w:type="dxa"/>
          <w:trHeight w:val="550" w:hRule="atLeast"/>
          <w:jc w:val="center"/>
        </w:trPr>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配套风险补偿金</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200万元</w:t>
            </w:r>
          </w:p>
        </w:tc>
        <w:tc>
          <w:tcPr>
            <w:tcW w:w="48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实际完成“园保贷”配套资金200万元。</w:t>
            </w:r>
          </w:p>
        </w:tc>
      </w:tr>
      <w:tr>
        <w:tblPrEx>
          <w:tblCellMar>
            <w:top w:w="0" w:type="dxa"/>
            <w:left w:w="0" w:type="dxa"/>
            <w:bottom w:w="0" w:type="dxa"/>
            <w:right w:w="0" w:type="dxa"/>
          </w:tblCellMar>
        </w:tblPrEx>
        <w:trPr>
          <w:gridAfter w:val="1"/>
          <w:wAfter w:w="321" w:type="dxa"/>
          <w:trHeight w:val="1042" w:hRule="atLeast"/>
          <w:jc w:val="center"/>
        </w:trPr>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项目效益</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进一步缓解园区企业融资难、融资贵的问题。</w:t>
            </w:r>
          </w:p>
        </w:tc>
        <w:tc>
          <w:tcPr>
            <w:tcW w:w="48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按要求已完成“园保贷”项目配套风险补偿金工作。</w:t>
            </w:r>
          </w:p>
        </w:tc>
      </w:tr>
      <w:tr>
        <w:tblPrEx>
          <w:tblCellMar>
            <w:top w:w="0" w:type="dxa"/>
            <w:left w:w="0" w:type="dxa"/>
            <w:bottom w:w="0" w:type="dxa"/>
            <w:right w:w="0" w:type="dxa"/>
          </w:tblCellMar>
        </w:tblPrEx>
        <w:trPr>
          <w:gridAfter w:val="1"/>
          <w:wAfter w:w="321" w:type="dxa"/>
          <w:trHeight w:val="1050" w:hRule="atLeast"/>
          <w:jc w:val="center"/>
        </w:trPr>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满意度</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&gt;90%</w:t>
            </w:r>
          </w:p>
        </w:tc>
        <w:tc>
          <w:tcPr>
            <w:tcW w:w="48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&gt;90%</w:t>
            </w:r>
          </w:p>
        </w:tc>
      </w:tr>
    </w:tbl>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年部门整体支出绩效评价情况开展自评，《达川产业新区管理委员会</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园保贷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配套风险补偿金项目开展了绩效评价，《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园保贷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配套风险补偿金项目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7"/>
          <w:rFonts w:ascii="黑体" w:hAnsi="黑体" w:eastAsia="黑体"/>
          <w:b w:val="0"/>
        </w:rPr>
      </w:pPr>
      <w:bookmarkStart w:id="53" w:name="_Toc15377225"/>
      <w:bookmarkStart w:id="54"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3"/>
      <w:bookmarkEnd w:id="54"/>
    </w:p>
    <w:p>
      <w:pPr>
        <w:pStyle w:val="29"/>
        <w:spacing w:line="560" w:lineRule="exact"/>
        <w:ind w:firstLine="640" w:firstLineChars="200"/>
        <w:rPr>
          <w:rFonts w:ascii="仿宋_GB2312" w:eastAsia="仿宋_GB2312"/>
          <w:sz w:val="32"/>
          <w:szCs w:val="32"/>
        </w:rPr>
      </w:pP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9. </w:t>
      </w:r>
      <w:r>
        <w:rPr>
          <w:rFonts w:hint="eastAsia" w:ascii="仿宋_GB2312" w:eastAsia="仿宋_GB2312"/>
          <w:color w:val="000000"/>
          <w:sz w:val="32"/>
          <w:szCs w:val="32"/>
        </w:rPr>
        <w:t>城乡社区支出（类）城乡社区管理事务（款）行政运行（项）：指反映行政单位的基本支出。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rPr>
        <w:t xml:space="preserve"> </w:t>
      </w:r>
      <w:r>
        <w:rPr>
          <w:rFonts w:hint="eastAsia" w:ascii="仿宋_GB2312" w:eastAsia="仿宋_GB2312"/>
          <w:color w:val="000000"/>
          <w:sz w:val="32"/>
          <w:szCs w:val="32"/>
        </w:rPr>
        <w:t>城乡社区支出（类）国有土地使用权出让收入安排的支出（款）其他国有土地使用权出让收入安排的支出（项）：是指反映国有土地使用权出让收入基金安排的支出。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2021年部门（单位）整体支出绩效报告</w:t>
      </w:r>
    </w:p>
    <w:p>
      <w:pPr>
        <w:spacing w:line="552" w:lineRule="exact"/>
        <w:jc w:val="center"/>
        <w:rPr>
          <w:rFonts w:ascii="方正小标宋_GBK" w:hAnsi="方正小标宋_GBK" w:eastAsia="方正小标宋_GBK" w:cs="方正小标宋_GBK"/>
          <w:sz w:val="44"/>
          <w:szCs w:val="44"/>
        </w:rPr>
      </w:pPr>
    </w:p>
    <w:p>
      <w:pPr>
        <w:spacing w:line="552" w:lineRule="exact"/>
        <w:ind w:firstLine="640" w:firstLineChars="200"/>
        <w:jc w:val="left"/>
        <w:rPr>
          <w:rFonts w:ascii="方正仿宋简体" w:eastAsia="方正仿宋简体"/>
          <w:sz w:val="32"/>
          <w:szCs w:val="32"/>
        </w:rPr>
      </w:pPr>
      <w:r>
        <w:rPr>
          <w:rFonts w:hint="eastAsia" w:ascii="方正仿宋简体" w:hAnsi="宋体" w:eastAsia="方正仿宋简体"/>
          <w:sz w:val="32"/>
          <w:szCs w:val="32"/>
        </w:rPr>
        <w:t>根据《达州市达川区财政局关于开展2021年财政绩效评价及绩效运行跟踪监控工作的通知》（达川财绩效〔2021〕8 号）文件要求</w:t>
      </w:r>
      <w:r>
        <w:rPr>
          <w:rFonts w:hint="eastAsia" w:ascii="方正仿宋简体" w:eastAsia="方正仿宋简体"/>
          <w:sz w:val="32"/>
          <w:szCs w:val="32"/>
        </w:rPr>
        <w:t>，我单位对2020年全年支出进行了整体绩效自评，报告如下：</w:t>
      </w:r>
    </w:p>
    <w:p>
      <w:pPr>
        <w:pStyle w:val="31"/>
        <w:numPr>
          <w:ilvl w:val="0"/>
          <w:numId w:val="4"/>
        </w:numPr>
        <w:spacing w:line="552" w:lineRule="exact"/>
        <w:ind w:firstLineChars="0"/>
        <w:rPr>
          <w:rStyle w:val="30"/>
          <w:rFonts w:ascii="方正黑体简体" w:eastAsia="方正黑体简体"/>
          <w:i w:val="0"/>
          <w:sz w:val="32"/>
          <w:szCs w:val="32"/>
        </w:rPr>
      </w:pPr>
      <w:r>
        <w:rPr>
          <w:rStyle w:val="30"/>
          <w:rFonts w:hint="eastAsia" w:ascii="方正黑体简体" w:eastAsia="方正黑体简体"/>
          <w:i w:val="0"/>
          <w:sz w:val="32"/>
          <w:szCs w:val="32"/>
        </w:rPr>
        <w:t>部门（单位）概况</w:t>
      </w:r>
    </w:p>
    <w:p>
      <w:pPr>
        <w:spacing w:line="552" w:lineRule="exact"/>
        <w:ind w:firstLine="419" w:firstLineChars="131"/>
        <w:jc w:val="left"/>
        <w:rPr>
          <w:rFonts w:ascii="楷体" w:hAnsi="楷体" w:eastAsia="楷体" w:cs="方正楷体_GBK"/>
          <w:sz w:val="32"/>
          <w:szCs w:val="32"/>
        </w:rPr>
      </w:pPr>
      <w:r>
        <w:rPr>
          <w:rFonts w:ascii="楷体" w:hAnsi="楷体" w:eastAsia="楷体" w:cs="方正楷体_GBK"/>
          <w:sz w:val="32"/>
          <w:szCs w:val="32"/>
        </w:rPr>
        <w:t>（一）</w:t>
      </w:r>
      <w:r>
        <w:rPr>
          <w:rFonts w:hint="eastAsia" w:ascii="楷体" w:hAnsi="楷体" w:eastAsia="楷体" w:cs="方正楷体_GBK"/>
          <w:sz w:val="32"/>
          <w:szCs w:val="32"/>
        </w:rPr>
        <w:t>机构组成</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达川产业新区管理委员会</w:t>
      </w:r>
      <w:r>
        <w:rPr>
          <w:rFonts w:hint="eastAsia" w:ascii="方正仿宋简体" w:eastAsia="方正仿宋简体"/>
          <w:sz w:val="32"/>
          <w:szCs w:val="32"/>
          <w:lang w:bidi="ar"/>
        </w:rPr>
        <w:t>是中共达州市达川区委、达州市达川区人民政府的派出机构，正科级单位，行政一级预算单位。内设4个股室：办公室（财务统计股）、规划建设股、经济发展与投资促进股、安全生产与生态环境保护股；下设2个事业单位：达川工业经济发展中心、达川区中医药产业发展中心。</w:t>
      </w:r>
    </w:p>
    <w:p>
      <w:pPr>
        <w:spacing w:line="552" w:lineRule="exact"/>
        <w:ind w:firstLine="640" w:firstLineChars="200"/>
        <w:jc w:val="left"/>
        <w:rPr>
          <w:rFonts w:ascii="楷体" w:hAnsi="楷体" w:eastAsia="楷体" w:cs="方正楷体_GBK"/>
          <w:sz w:val="32"/>
          <w:szCs w:val="32"/>
        </w:rPr>
      </w:pPr>
      <w:r>
        <w:rPr>
          <w:rFonts w:ascii="楷体" w:hAnsi="楷体" w:eastAsia="楷体" w:cs="方正楷体_GBK"/>
          <w:sz w:val="32"/>
          <w:szCs w:val="32"/>
        </w:rPr>
        <w:t>（二）</w:t>
      </w:r>
      <w:r>
        <w:rPr>
          <w:rFonts w:hint="eastAsia" w:ascii="楷体" w:hAnsi="楷体" w:eastAsia="楷体" w:cs="方正楷体_GBK"/>
          <w:sz w:val="32"/>
          <w:szCs w:val="32"/>
        </w:rPr>
        <w:t>机构职能</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1.贯彻执行党和国家各项方针政策，落实区委、区政府各项决策部署，坚持和加强党对园区工作的集中统一领导。</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2.根据区国民经济和社会发展规划，编制产业新区建设总体规划、国民经济和社会发展规划及年度计划，报区委、区政府批准后组织实施。</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3.负责产业新区经济运行、企业服务、科技研发等工作。依法制定产业新区的行政管理政策，并监督执行。</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4.负责产业新区招商引资和对外经济技术合作交流工作。建立健全招商引资、企业准入退出、投融资、公共服务、产权交易、企业扶持等工作机制，创造良好的投资发展环境。</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5.负责产业新区行政审批事项的代办服务工作，保障企业依法自主经营，维护企业的合法权益。</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6.负责产业新区土地整理开发，基础设施和公共服务设施的建设与保障工作。协助项目招投标、质量监督和工程验收等工作。</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7.负责产业新区社会治理工作，建立健全应急处置机制，负责法制园区建设。</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8.负责产业新区的安全生产工作，协助生态环境部门监督管理产业新区生态环境工作。</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9.负责产业新区党的建设、党风廉政建设、精神文明建设、组织人事、机构编制、统计和监督审计等工作。、</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10.承担区委、区政府交办的其他任务。</w:t>
      </w:r>
    </w:p>
    <w:p>
      <w:pPr>
        <w:spacing w:line="552" w:lineRule="exact"/>
        <w:ind w:left="640"/>
        <w:jc w:val="left"/>
        <w:rPr>
          <w:rFonts w:ascii="楷体" w:hAnsi="楷体" w:eastAsia="楷体" w:cs="方正楷体_GBK"/>
          <w:sz w:val="32"/>
          <w:szCs w:val="32"/>
        </w:rPr>
      </w:pPr>
      <w:r>
        <w:rPr>
          <w:rFonts w:ascii="楷体" w:hAnsi="楷体" w:eastAsia="楷体" w:cs="方正楷体_GBK"/>
          <w:sz w:val="32"/>
          <w:szCs w:val="32"/>
        </w:rPr>
        <w:t>（三）</w:t>
      </w:r>
      <w:r>
        <w:rPr>
          <w:rFonts w:hint="eastAsia" w:ascii="楷体" w:hAnsi="楷体" w:eastAsia="楷体" w:cs="方正楷体_GBK"/>
          <w:sz w:val="32"/>
          <w:szCs w:val="32"/>
        </w:rPr>
        <w:t>人员概况</w:t>
      </w:r>
    </w:p>
    <w:p>
      <w:pPr>
        <w:spacing w:line="552"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本单位行政编制11人，实有行政在职11人，行政退休人员0人。</w:t>
      </w:r>
    </w:p>
    <w:p>
      <w:pPr>
        <w:spacing w:line="552" w:lineRule="exact"/>
        <w:ind w:firstLine="640" w:firstLineChars="200"/>
        <w:jc w:val="left"/>
        <w:rPr>
          <w:rFonts w:ascii="方正黑体简体" w:eastAsia="方正黑体简体"/>
          <w:sz w:val="32"/>
          <w:szCs w:val="32"/>
        </w:rPr>
      </w:pPr>
      <w:r>
        <w:rPr>
          <w:rFonts w:hint="eastAsia" w:ascii="方正黑体简体" w:eastAsia="方正黑体简体"/>
          <w:sz w:val="32"/>
          <w:szCs w:val="32"/>
        </w:rPr>
        <w:t>二、部门财政资金收支情况</w:t>
      </w:r>
    </w:p>
    <w:p>
      <w:pPr>
        <w:numPr>
          <w:ilvl w:val="0"/>
          <w:numId w:val="5"/>
        </w:numPr>
        <w:spacing w:line="552" w:lineRule="exact"/>
        <w:ind w:firstLine="640" w:firstLineChars="200"/>
        <w:jc w:val="left"/>
        <w:rPr>
          <w:rFonts w:ascii="楷体" w:hAnsi="楷体" w:eastAsia="楷体" w:cs="方正楷体_GBK"/>
          <w:sz w:val="32"/>
          <w:szCs w:val="32"/>
        </w:rPr>
      </w:pPr>
      <w:r>
        <w:rPr>
          <w:rFonts w:hint="eastAsia" w:ascii="楷体" w:hAnsi="楷体" w:eastAsia="楷体" w:cs="方正楷体_GBK"/>
          <w:sz w:val="32"/>
          <w:szCs w:val="32"/>
        </w:rPr>
        <w:t>部门财政资金收入情况</w:t>
      </w:r>
    </w:p>
    <w:p>
      <w:pPr>
        <w:spacing w:line="552"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达川产业新区管理委员会本年预算收入共计230万元，其中财政安排一般公共预算拨款收入30万元，政府性基金预算财政拨款收入200万元。</w:t>
      </w:r>
    </w:p>
    <w:p>
      <w:pPr>
        <w:numPr>
          <w:ilvl w:val="0"/>
          <w:numId w:val="5"/>
        </w:numPr>
        <w:spacing w:line="552" w:lineRule="exact"/>
        <w:ind w:firstLine="640" w:firstLineChars="200"/>
        <w:jc w:val="left"/>
        <w:rPr>
          <w:rFonts w:ascii="楷体" w:hAnsi="楷体" w:eastAsia="楷体" w:cs="方正楷体_GBK"/>
          <w:sz w:val="32"/>
          <w:szCs w:val="32"/>
        </w:rPr>
      </w:pPr>
      <w:r>
        <w:rPr>
          <w:rFonts w:hint="eastAsia" w:ascii="楷体" w:hAnsi="楷体" w:eastAsia="楷体" w:cs="方正楷体_GBK"/>
          <w:sz w:val="32"/>
          <w:szCs w:val="32"/>
        </w:rPr>
        <w:t>部门财政资金支出情况</w:t>
      </w:r>
    </w:p>
    <w:p>
      <w:pPr>
        <w:spacing w:line="552"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达川产业新区管理委员会本级本年支出19.91万元，其中：基本支出19.91万元（人员经费3.49万元和公用经费16.42万元）。</w:t>
      </w:r>
    </w:p>
    <w:p>
      <w:pPr>
        <w:numPr>
          <w:ilvl w:val="0"/>
          <w:numId w:val="5"/>
        </w:numPr>
        <w:spacing w:line="552" w:lineRule="exact"/>
        <w:ind w:firstLine="640" w:firstLineChars="200"/>
        <w:jc w:val="left"/>
        <w:rPr>
          <w:rFonts w:ascii="楷体" w:hAnsi="楷体" w:eastAsia="楷体" w:cs="方正楷体_GBK"/>
          <w:sz w:val="32"/>
          <w:szCs w:val="32"/>
        </w:rPr>
      </w:pPr>
      <w:r>
        <w:rPr>
          <w:rFonts w:hint="eastAsia" w:ascii="楷体" w:hAnsi="楷体" w:eastAsia="楷体" w:cs="方正楷体_GBK"/>
          <w:sz w:val="32"/>
          <w:szCs w:val="32"/>
        </w:rPr>
        <w:t>部门财政收入结转结余情况</w:t>
      </w:r>
    </w:p>
    <w:p>
      <w:pPr>
        <w:spacing w:line="552"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达川产业新区管理委员会2020年本级单位结转下年资金共计210.09万元，其中：</w:t>
      </w:r>
      <w:r>
        <w:rPr>
          <w:rFonts w:hint="eastAsia" w:ascii="方正仿宋简体" w:hAnsi="Calibri" w:eastAsia="方正仿宋简体" w:cs="仿宋_GB2312"/>
          <w:sz w:val="32"/>
          <w:szCs w:val="32"/>
          <w:lang w:bidi="ar"/>
        </w:rPr>
        <w:t>基本支出结转10.09万元，项目支出结转200万元</w:t>
      </w:r>
      <w:r>
        <w:rPr>
          <w:rFonts w:hint="eastAsia" w:ascii="方正仿宋简体" w:eastAsia="方正仿宋简体"/>
          <w:sz w:val="32"/>
          <w:szCs w:val="32"/>
        </w:rPr>
        <w:t>。</w:t>
      </w:r>
    </w:p>
    <w:p>
      <w:pPr>
        <w:spacing w:line="552" w:lineRule="exact"/>
        <w:ind w:left="640"/>
        <w:jc w:val="left"/>
        <w:rPr>
          <w:rFonts w:ascii="方正楷体_GBK" w:hAnsi="方正楷体_GBK" w:eastAsia="方正楷体_GBK" w:cs="方正楷体_GBK"/>
          <w:sz w:val="32"/>
          <w:szCs w:val="32"/>
        </w:rPr>
      </w:pPr>
      <w:r>
        <w:rPr>
          <w:rFonts w:eastAsia="方正黑体_GBK"/>
          <w:sz w:val="32"/>
          <w:szCs w:val="32"/>
        </w:rPr>
        <w:t>三、部门</w:t>
      </w:r>
      <w:r>
        <w:rPr>
          <w:rFonts w:hint="eastAsia" w:eastAsia="方正黑体_GBK"/>
          <w:sz w:val="32"/>
          <w:szCs w:val="32"/>
        </w:rPr>
        <w:t>整体预算绩效管理情况</w:t>
      </w:r>
      <w:r>
        <w:rPr>
          <w:rFonts w:hint="eastAsia" w:ascii="方正楷体_GBK" w:hAnsi="方正楷体_GBK" w:eastAsia="方正楷体_GBK" w:cs="方正楷体_GBK"/>
          <w:sz w:val="32"/>
          <w:szCs w:val="32"/>
        </w:rPr>
        <w:t xml:space="preserve"> </w:t>
      </w:r>
    </w:p>
    <w:p>
      <w:pPr>
        <w:spacing w:line="552" w:lineRule="exact"/>
        <w:ind w:left="640"/>
        <w:jc w:val="left"/>
        <w:rPr>
          <w:rFonts w:ascii="楷体" w:hAnsi="楷体" w:eastAsia="楷体" w:cs="方正楷体_GBK"/>
          <w:sz w:val="32"/>
          <w:szCs w:val="32"/>
        </w:rPr>
      </w:pPr>
      <w:r>
        <w:rPr>
          <w:rFonts w:ascii="楷体" w:hAnsi="楷体" w:eastAsia="楷体" w:cs="方正楷体_GBK"/>
          <w:sz w:val="32"/>
          <w:szCs w:val="32"/>
        </w:rPr>
        <w:t>（一）</w:t>
      </w:r>
      <w:r>
        <w:rPr>
          <w:rFonts w:hint="eastAsia" w:ascii="楷体" w:hAnsi="楷体" w:eastAsia="楷体" w:cs="方正楷体_GBK"/>
          <w:sz w:val="32"/>
          <w:szCs w:val="32"/>
        </w:rPr>
        <w:t>预算管理</w:t>
      </w:r>
    </w:p>
    <w:p>
      <w:pPr>
        <w:spacing w:line="552"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一是按《预算法》和财政有关规定，准确编制了年初预算，制定了绩效目标。二是职工工资等人员经费按月发放，公务费按月申报，项目支出按实施进度拨付。三是严格落实中央八项规定精神及省、市、区规定，着力控制“三公”经费预算支出。全年无因公出国（境）费用支出。我单位在执行预算管理方面无违规行为。</w:t>
      </w:r>
    </w:p>
    <w:p>
      <w:pPr>
        <w:spacing w:line="552" w:lineRule="exact"/>
        <w:ind w:firstLine="640" w:firstLineChars="200"/>
        <w:jc w:val="left"/>
        <w:rPr>
          <w:rFonts w:ascii="楷体" w:hAnsi="楷体" w:eastAsia="楷体" w:cs="方正楷体_GBK"/>
          <w:sz w:val="32"/>
          <w:szCs w:val="32"/>
        </w:rPr>
      </w:pPr>
      <w:r>
        <w:rPr>
          <w:rFonts w:ascii="楷体" w:hAnsi="楷体" w:eastAsia="楷体" w:cs="方正楷体_GBK"/>
          <w:sz w:val="32"/>
          <w:szCs w:val="32"/>
        </w:rPr>
        <w:t>（</w:t>
      </w:r>
      <w:r>
        <w:rPr>
          <w:rFonts w:hint="eastAsia" w:ascii="楷体" w:hAnsi="楷体" w:eastAsia="楷体" w:cs="方正楷体_GBK"/>
          <w:sz w:val="32"/>
          <w:szCs w:val="32"/>
        </w:rPr>
        <w:t>二</w:t>
      </w:r>
      <w:r>
        <w:rPr>
          <w:rFonts w:ascii="楷体" w:hAnsi="楷体" w:eastAsia="楷体" w:cs="方正楷体_GBK"/>
          <w:sz w:val="32"/>
          <w:szCs w:val="32"/>
        </w:rPr>
        <w:t>）</w:t>
      </w:r>
      <w:r>
        <w:rPr>
          <w:rFonts w:hint="eastAsia" w:ascii="楷体" w:hAnsi="楷体" w:eastAsia="楷体" w:cs="方正楷体_GBK"/>
          <w:sz w:val="32"/>
          <w:szCs w:val="32"/>
        </w:rPr>
        <w:t>专项预算管理</w:t>
      </w:r>
    </w:p>
    <w:p>
      <w:pPr>
        <w:spacing w:line="552"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专项资金预算严格按照中央及省、市、区各级财务规定，做好项目规划，使其程序严密，规划合理；专项项目资金使用严格按照项目资金管理办法的规定做好项目实施和监管，切实做到专款专用。专项预算绩效目标完成、无违规记录等情况。</w:t>
      </w:r>
    </w:p>
    <w:p>
      <w:pPr>
        <w:spacing w:line="552" w:lineRule="exact"/>
        <w:ind w:firstLine="640" w:firstLineChars="200"/>
        <w:jc w:val="left"/>
        <w:rPr>
          <w:rFonts w:ascii="楷体" w:hAnsi="楷体" w:eastAsia="楷体" w:cs="方正楷体_GBK"/>
          <w:sz w:val="32"/>
          <w:szCs w:val="32"/>
        </w:rPr>
      </w:pPr>
      <w:r>
        <w:rPr>
          <w:rFonts w:ascii="楷体" w:hAnsi="楷体" w:eastAsia="楷体" w:cs="方正楷体_GBK"/>
          <w:sz w:val="32"/>
          <w:szCs w:val="32"/>
        </w:rPr>
        <w:t>（</w:t>
      </w:r>
      <w:r>
        <w:rPr>
          <w:rFonts w:hint="eastAsia" w:ascii="楷体" w:hAnsi="楷体" w:eastAsia="楷体" w:cs="方正楷体_GBK"/>
          <w:sz w:val="32"/>
          <w:szCs w:val="32"/>
        </w:rPr>
        <w:t>三</w:t>
      </w:r>
      <w:r>
        <w:rPr>
          <w:rFonts w:ascii="楷体" w:hAnsi="楷体" w:eastAsia="楷体" w:cs="方正楷体_GBK"/>
          <w:sz w:val="32"/>
          <w:szCs w:val="32"/>
        </w:rPr>
        <w:t>）</w:t>
      </w:r>
      <w:r>
        <w:rPr>
          <w:rFonts w:hint="eastAsia" w:ascii="楷体" w:hAnsi="楷体" w:eastAsia="楷体" w:cs="方正楷体_GBK"/>
          <w:sz w:val="32"/>
          <w:szCs w:val="32"/>
        </w:rPr>
        <w:t>绩效结果应用情况</w:t>
      </w:r>
    </w:p>
    <w:p>
      <w:pPr>
        <w:spacing w:line="552" w:lineRule="exact"/>
        <w:ind w:firstLine="640" w:firstLineChars="200"/>
        <w:jc w:val="left"/>
        <w:rPr>
          <w:rFonts w:ascii="楷体" w:hAnsi="楷体" w:eastAsia="楷体" w:cs="方正楷体_GBK"/>
          <w:sz w:val="32"/>
          <w:szCs w:val="32"/>
        </w:rPr>
      </w:pPr>
      <w:r>
        <w:rPr>
          <w:rFonts w:hint="eastAsia" w:ascii="楷体" w:hAnsi="楷体" w:eastAsia="楷体" w:cs="方正楷体_GBK"/>
          <w:sz w:val="32"/>
          <w:szCs w:val="32"/>
        </w:rPr>
        <w:t xml:space="preserve"> </w:t>
      </w:r>
      <w:r>
        <w:rPr>
          <w:rFonts w:hint="eastAsia" w:ascii="方正仿宋简体" w:eastAsia="方正仿宋简体"/>
          <w:sz w:val="32"/>
          <w:szCs w:val="32"/>
        </w:rPr>
        <w:t>部门整体支出自评准确率95%以上，绩效目标按要求向社会公开，完善相关制度，进一步加强管理，及时向财政部门反馈结果应用情况。</w:t>
      </w:r>
    </w:p>
    <w:p>
      <w:pPr>
        <w:spacing w:line="552" w:lineRule="exact"/>
        <w:ind w:firstLine="640" w:firstLineChars="200"/>
        <w:jc w:val="left"/>
        <w:rPr>
          <w:rFonts w:ascii="方正黑体简体" w:eastAsia="方正黑体简体"/>
          <w:sz w:val="32"/>
          <w:szCs w:val="32"/>
        </w:rPr>
      </w:pPr>
      <w:r>
        <w:rPr>
          <w:rFonts w:hint="eastAsia" w:ascii="方正黑体简体" w:eastAsia="方正黑体简体"/>
          <w:sz w:val="32"/>
          <w:szCs w:val="32"/>
        </w:rPr>
        <w:t>四、评价结论及建议</w:t>
      </w:r>
    </w:p>
    <w:p>
      <w:pPr>
        <w:numPr>
          <w:ilvl w:val="0"/>
          <w:numId w:val="6"/>
        </w:numPr>
        <w:spacing w:line="552" w:lineRule="exact"/>
        <w:ind w:firstLine="640" w:firstLineChars="200"/>
        <w:jc w:val="left"/>
        <w:rPr>
          <w:rFonts w:ascii="楷体" w:hAnsi="楷体" w:eastAsia="楷体" w:cs="方正楷体_GBK"/>
          <w:sz w:val="32"/>
          <w:szCs w:val="32"/>
        </w:rPr>
      </w:pPr>
      <w:r>
        <w:rPr>
          <w:rFonts w:hint="eastAsia" w:ascii="楷体" w:hAnsi="楷体" w:eastAsia="楷体" w:cs="方正楷体_GBK"/>
          <w:sz w:val="32"/>
          <w:szCs w:val="32"/>
        </w:rPr>
        <w:t xml:space="preserve">评价结论 </w:t>
      </w:r>
      <w:r>
        <w:rPr>
          <w:rFonts w:ascii="楷体" w:hAnsi="楷体" w:eastAsia="楷体" w:cs="方正楷体_GBK"/>
          <w:sz w:val="32"/>
          <w:szCs w:val="32"/>
        </w:rPr>
        <w:t xml:space="preserve"> </w:t>
      </w:r>
    </w:p>
    <w:p>
      <w:pPr>
        <w:spacing w:line="552" w:lineRule="exact"/>
        <w:ind w:firstLine="640" w:firstLineChars="200"/>
        <w:jc w:val="left"/>
        <w:rPr>
          <w:rFonts w:ascii="方正仿宋简体" w:hAnsi="楷体" w:eastAsia="方正仿宋简体" w:cs="方正楷体_GBK"/>
          <w:sz w:val="32"/>
          <w:szCs w:val="32"/>
        </w:rPr>
      </w:pPr>
      <w:r>
        <w:rPr>
          <w:rFonts w:hint="eastAsia" w:ascii="方正仿宋简体" w:hAnsi="楷体" w:eastAsia="方正仿宋简体" w:cs="方正楷体_GBK"/>
          <w:sz w:val="32"/>
          <w:szCs w:val="32"/>
        </w:rPr>
        <w:t>总体看，我单位预算编制及执行决算较为准确，支出管理较为规范，财务管理制度较完善，部门整体绩效较好。</w:t>
      </w:r>
    </w:p>
    <w:p>
      <w:pPr>
        <w:spacing w:line="552" w:lineRule="exact"/>
        <w:ind w:firstLine="640" w:firstLineChars="200"/>
        <w:jc w:val="left"/>
        <w:rPr>
          <w:rFonts w:ascii="楷体" w:hAnsi="楷体" w:eastAsia="楷体" w:cs="方正楷体_GBK"/>
          <w:sz w:val="32"/>
          <w:szCs w:val="32"/>
        </w:rPr>
      </w:pPr>
      <w:r>
        <w:rPr>
          <w:rFonts w:hint="eastAsia" w:ascii="楷体" w:hAnsi="楷体" w:eastAsia="楷体" w:cs="方正楷体_GBK"/>
          <w:sz w:val="32"/>
          <w:szCs w:val="32"/>
        </w:rPr>
        <w:t>存在问题</w:t>
      </w:r>
    </w:p>
    <w:p>
      <w:pPr>
        <w:spacing w:line="552" w:lineRule="exact"/>
        <w:ind w:firstLine="640" w:firstLineChars="200"/>
        <w:jc w:val="left"/>
        <w:rPr>
          <w:rFonts w:ascii="方正仿宋简体" w:hAnsi="楷体" w:eastAsia="方正仿宋简体" w:cs="方正楷体_GBK"/>
          <w:sz w:val="32"/>
          <w:szCs w:val="32"/>
        </w:rPr>
      </w:pPr>
      <w:r>
        <w:rPr>
          <w:rFonts w:hint="eastAsia" w:ascii="方正仿宋简体" w:hAnsi="楷体" w:eastAsia="方正仿宋简体" w:cs="方正楷体_GBK"/>
          <w:sz w:val="32"/>
          <w:szCs w:val="32"/>
        </w:rPr>
        <w:t>1.项目资金未及时到位，影响项目实施进度和预期效益。</w:t>
      </w:r>
    </w:p>
    <w:p>
      <w:pPr>
        <w:spacing w:line="552" w:lineRule="exact"/>
        <w:ind w:firstLine="640" w:firstLineChars="200"/>
        <w:jc w:val="left"/>
        <w:rPr>
          <w:rFonts w:ascii="方正仿宋简体" w:hAnsi="楷体" w:eastAsia="方正仿宋简体" w:cs="方正楷体_GBK"/>
          <w:sz w:val="32"/>
          <w:szCs w:val="32"/>
        </w:rPr>
      </w:pPr>
      <w:r>
        <w:rPr>
          <w:rFonts w:hint="eastAsia" w:ascii="方正仿宋简体" w:hAnsi="楷体" w:eastAsia="方正仿宋简体" w:cs="方正楷体_GBK"/>
          <w:sz w:val="32"/>
          <w:szCs w:val="32"/>
        </w:rPr>
        <w:t>2.</w:t>
      </w:r>
      <w:r>
        <w:rPr>
          <w:rFonts w:hint="eastAsia" w:ascii="仿宋" w:hAnsi="仿宋" w:eastAsia="仿宋" w:cs="仿宋"/>
          <w:color w:val="000000"/>
          <w:kern w:val="0"/>
          <w:sz w:val="32"/>
          <w:szCs w:val="32"/>
        </w:rPr>
        <w:t>内控制度质量不高</w:t>
      </w:r>
      <w:r>
        <w:rPr>
          <w:rFonts w:hint="eastAsia" w:ascii="方正仿宋简体" w:hAnsi="楷体" w:eastAsia="方正仿宋简体" w:cs="方正楷体_GBK"/>
          <w:sz w:val="32"/>
          <w:szCs w:val="32"/>
        </w:rPr>
        <w:t>，</w:t>
      </w:r>
      <w:r>
        <w:rPr>
          <w:rFonts w:hint="eastAsia" w:ascii="方正仿宋简体" w:eastAsia="方正仿宋简体"/>
          <w:sz w:val="32"/>
          <w:szCs w:val="32"/>
        </w:rPr>
        <w:t>有待完善。</w:t>
      </w:r>
    </w:p>
    <w:p>
      <w:pPr>
        <w:numPr>
          <w:ilvl w:val="0"/>
          <w:numId w:val="6"/>
        </w:numPr>
        <w:spacing w:line="552" w:lineRule="exact"/>
        <w:ind w:firstLine="640" w:firstLineChars="200"/>
        <w:jc w:val="left"/>
        <w:rPr>
          <w:rFonts w:ascii="楷体" w:hAnsi="楷体" w:eastAsia="楷体" w:cs="方正楷体_GBK"/>
          <w:sz w:val="32"/>
          <w:szCs w:val="32"/>
        </w:rPr>
      </w:pPr>
      <w:r>
        <w:rPr>
          <w:rFonts w:hint="eastAsia" w:ascii="楷体" w:hAnsi="楷体" w:eastAsia="楷体" w:cs="方正楷体_GBK"/>
          <w:sz w:val="32"/>
          <w:szCs w:val="32"/>
        </w:rPr>
        <w:t>改进建议</w:t>
      </w:r>
    </w:p>
    <w:p>
      <w:pPr>
        <w:spacing w:line="552" w:lineRule="exact"/>
        <w:jc w:val="left"/>
        <w:rPr>
          <w:rFonts w:ascii="方正仿宋简体" w:hAnsi="方正楷体_GBK" w:eastAsia="方正仿宋简体" w:cs="方正楷体_GBK"/>
          <w:sz w:val="32"/>
          <w:szCs w:val="32"/>
        </w:rPr>
      </w:pPr>
      <w:r>
        <w:rPr>
          <w:rFonts w:hint="eastAsia" w:ascii="方正楷体_GBK" w:hAnsi="方正楷体_GBK" w:eastAsia="方正楷体_GBK" w:cs="方正楷体_GBK"/>
          <w:sz w:val="32"/>
          <w:szCs w:val="32"/>
        </w:rPr>
        <w:t xml:space="preserve"> </w:t>
      </w:r>
      <w:r>
        <w:rPr>
          <w:rFonts w:ascii="方正楷体_GBK" w:hAnsi="方正楷体_GBK" w:eastAsia="方正楷体_GBK" w:cs="方正楷体_GBK"/>
          <w:sz w:val="32"/>
          <w:szCs w:val="32"/>
        </w:rPr>
        <w:t xml:space="preserve">  </w:t>
      </w:r>
      <w:r>
        <w:rPr>
          <w:rFonts w:ascii="方正仿宋简体" w:hAnsi="方正楷体_GBK" w:eastAsia="方正仿宋简体" w:cs="方正楷体_GBK"/>
          <w:sz w:val="32"/>
          <w:szCs w:val="32"/>
        </w:rPr>
        <w:t xml:space="preserve"> 1</w:t>
      </w:r>
      <w:r>
        <w:rPr>
          <w:rFonts w:hint="eastAsia" w:ascii="方正仿宋简体" w:hAnsi="方正楷体_GBK" w:eastAsia="方正仿宋简体" w:cs="方正楷体_GBK"/>
          <w:sz w:val="32"/>
          <w:szCs w:val="32"/>
        </w:rPr>
        <w:t>.项目资金及时划转，以保障项目顺利实施。</w:t>
      </w:r>
    </w:p>
    <w:p>
      <w:pPr>
        <w:spacing w:line="552" w:lineRule="exact"/>
        <w:ind w:firstLine="645"/>
        <w:jc w:val="left"/>
        <w:rPr>
          <w:rFonts w:ascii="方正仿宋简体" w:hAnsi="方正楷体_GBK" w:eastAsia="方正仿宋简体" w:cs="方正楷体_GBK"/>
          <w:sz w:val="32"/>
          <w:szCs w:val="32"/>
        </w:rPr>
      </w:pPr>
      <w:r>
        <w:rPr>
          <w:rFonts w:ascii="方正仿宋简体" w:hAnsi="方正楷体_GBK" w:eastAsia="方正仿宋简体" w:cs="方正楷体_GBK"/>
          <w:sz w:val="32"/>
          <w:szCs w:val="32"/>
        </w:rPr>
        <w:t>2</w:t>
      </w:r>
      <w:r>
        <w:rPr>
          <w:rFonts w:hint="eastAsia" w:ascii="方正仿宋简体" w:hAnsi="方正楷体_GBK" w:eastAsia="方正仿宋简体" w:cs="方正楷体_GBK"/>
          <w:sz w:val="32"/>
          <w:szCs w:val="32"/>
        </w:rPr>
        <w:t xml:space="preserve">. </w:t>
      </w:r>
      <w:r>
        <w:rPr>
          <w:rFonts w:hint="eastAsia" w:ascii="方正仿宋简体" w:eastAsia="方正仿宋简体"/>
          <w:sz w:val="32"/>
          <w:szCs w:val="32"/>
        </w:rPr>
        <w:t>提高预算编制质量，强化预算资金财务管理，完善内控管理制度，合理支出预算资金，使其最大效益化。</w:t>
      </w:r>
    </w:p>
    <w:p>
      <w:pPr>
        <w:spacing w:line="552" w:lineRule="exact"/>
        <w:ind w:firstLine="645"/>
        <w:jc w:val="left"/>
        <w:rPr>
          <w:rFonts w:ascii="方正仿宋简体" w:hAnsi="方正楷体_GBK" w:eastAsia="方正仿宋简体" w:cs="方正楷体_GBK"/>
          <w:sz w:val="32"/>
          <w:szCs w:val="32"/>
        </w:rPr>
      </w:pPr>
    </w:p>
    <w:p>
      <w:pPr>
        <w:spacing w:line="552" w:lineRule="exact"/>
        <w:ind w:firstLine="645"/>
        <w:jc w:val="left"/>
        <w:rPr>
          <w:rFonts w:ascii="方正仿宋简体" w:hAnsi="方正楷体_GBK" w:eastAsia="方正仿宋简体" w:cs="方正楷体_GBK"/>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17"/>
          <w:rFonts w:ascii="黑体" w:hAnsi="黑体" w:eastAsia="黑体"/>
          <w:b w:val="0"/>
        </w:rPr>
      </w:pPr>
    </w:p>
    <w:p>
      <w:pPr>
        <w:spacing w:line="580" w:lineRule="exact"/>
        <w:rPr>
          <w:rFonts w:ascii="仿宋_GB2312" w:hAnsi="仿宋_GB2312" w:eastAsia="仿宋_GB2312" w:cs="仿宋_GB2312"/>
          <w:sz w:val="32"/>
          <w:szCs w:val="32"/>
        </w:rPr>
      </w:pPr>
      <w:r>
        <w:rPr>
          <w:rStyle w:val="17"/>
          <w:rFonts w:ascii="黑体" w:hAnsi="黑体" w:eastAsia="黑体"/>
          <w:b w:val="0"/>
        </w:rPr>
        <w:br w:type="page"/>
      </w:r>
      <w:r>
        <w:rPr>
          <w:rFonts w:hint="eastAsia" w:ascii="黑体" w:hAnsi="黑体" w:eastAsia="黑体" w:cs="黑体"/>
          <w:sz w:val="32"/>
          <w:szCs w:val="32"/>
        </w:rPr>
        <w:t>附件</w:t>
      </w:r>
      <w:r>
        <w:rPr>
          <w:rFonts w:ascii="黑体" w:hAnsi="黑体" w:eastAsia="黑体" w:cs="黑体"/>
          <w:sz w:val="32"/>
          <w:szCs w:val="32"/>
        </w:rPr>
        <w:t>2</w:t>
      </w:r>
    </w:p>
    <w:p>
      <w:pPr>
        <w:pStyle w:val="32"/>
        <w:spacing w:line="60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2</w:t>
      </w:r>
      <w:r>
        <w:rPr>
          <w:rFonts w:ascii="方正小标宋简体" w:hAnsi="宋体" w:eastAsia="方正小标宋简体"/>
          <w:b/>
          <w:sz w:val="36"/>
          <w:szCs w:val="36"/>
        </w:rPr>
        <w:t>020年</w:t>
      </w:r>
      <w:r>
        <w:rPr>
          <w:rFonts w:hint="eastAsia" w:ascii="方正小标宋简体" w:hAnsi="宋体" w:eastAsia="方正小标宋简体"/>
          <w:b/>
          <w:sz w:val="36"/>
          <w:szCs w:val="36"/>
        </w:rPr>
        <w:t>项目支出绩效自评报告</w:t>
      </w:r>
    </w:p>
    <w:p>
      <w:pPr>
        <w:spacing w:line="600" w:lineRule="exact"/>
        <w:rPr>
          <w:rFonts w:ascii="宋体"/>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负责牵头“园保贷”业务推广、收集和储备贷款项目、召集评审委员会对企业资料进行初审、向工创公司推荐申贷企业。牵头跟踪风险资金池及放贷情况、协助催款和追偿工作。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国务院办公厅《关于多措并举着力缓解企业融资成本高问题的指导意见》(国办发〔2014〕39号)；</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省政府办公厅《关于进一步缓解企业融资难、融资贵问题的通知》(川办发〔2015〕32号)；</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四川省经信委、四川省财政厅《关于实施“园保贷”促进融资增信试点工作的通知》（川经信园区〔2015〕213号）。</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制定了《达川区“园保贷”管理实施办法(试行)》，支持在达川百马新区、亭子文旅新城、市第二工业园区及达钢配套产业园区、达川产业新区商贸服务中心区域内，符合产业政策、具有技术优势、成长性较好、信用记录良好、工商注册税务登记和统计关系均在达川区、有融资需求但抵质押不能满足银行传统放款条件的工业企业（煤炭、洗选、房地产业除外）。</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园保贷”风险补偿资金池由省级财政补偿金和管委会补偿金按1:1的比例筹集。四川工创公司统一管理“园保贷”风险补偿资金池，在合作银行开设专户归集和托管，银行按资金池总额10倍的额度对企业提供融资支持，贷款发生损失后，由风险补偿金池予以偿付。省级财政补偿金产生的利息用于增加本金，管委会补偿金产生的利息由管委会按规定自行安排。在《四川省产业园区“园保贷”业务三方合作协议》签订后，省财政、园区将各自筹集的补偿金拨付到指定账户。“园保贷”试点工作结束后对风险补偿金池进行清算，结余部分按筹集渠道分别退回省财政、管委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为建立政府支持，产业园区贷款风险补偿机制，进一步缓减园区企业融资难、融资贵的问题。2</w:t>
      </w:r>
      <w:r>
        <w:rPr>
          <w:rFonts w:ascii="仿宋_GB2312" w:hAnsi="宋体" w:eastAsia="仿宋_GB2312"/>
          <w:sz w:val="32"/>
          <w:szCs w:val="32"/>
          <w:lang w:val="zh-CN"/>
        </w:rPr>
        <w:t>020</w:t>
      </w:r>
      <w:r>
        <w:rPr>
          <w:rFonts w:hint="eastAsia" w:ascii="仿宋_GB2312" w:hAnsi="宋体" w:eastAsia="仿宋_GB2312"/>
          <w:sz w:val="32"/>
          <w:szCs w:val="32"/>
          <w:lang w:val="zh-CN"/>
        </w:rPr>
        <w:t>年底前完成“园保贷”配套资金200万元。</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项目申报内容与实际相符，申报目标合理可行。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w:t>
      </w:r>
      <w:r>
        <w:rPr>
          <w:rFonts w:ascii="仿宋_GB2312" w:eastAsia="仿宋_GB2312"/>
          <w:sz w:val="32"/>
          <w:szCs w:val="32"/>
          <w:lang w:val="zh-CN"/>
        </w:rPr>
        <w:t>020年申报</w:t>
      </w:r>
      <w:r>
        <w:rPr>
          <w:rFonts w:hint="eastAsia" w:ascii="仿宋_GB2312" w:eastAsia="仿宋_GB2312"/>
          <w:sz w:val="32"/>
          <w:szCs w:val="32"/>
          <w:lang w:val="zh-CN"/>
        </w:rPr>
        <w:t>“园保贷”产业园区补偿资金</w:t>
      </w:r>
      <w:r>
        <w:rPr>
          <w:rFonts w:ascii="仿宋_GB2312" w:eastAsia="仿宋_GB2312"/>
          <w:sz w:val="32"/>
          <w:szCs w:val="32"/>
          <w:lang w:val="zh-CN"/>
        </w:rPr>
        <w:t>200万元，批复本 “园保贷”配套补偿资金</w:t>
      </w:r>
      <w:r>
        <w:rPr>
          <w:rFonts w:hint="eastAsia" w:ascii="仿宋_GB2312" w:eastAsia="仿宋_GB2312"/>
          <w:sz w:val="32"/>
          <w:szCs w:val="32"/>
          <w:lang w:val="zh-CN"/>
        </w:rPr>
        <w:t>2</w:t>
      </w:r>
      <w:r>
        <w:rPr>
          <w:rFonts w:ascii="仿宋_GB2312" w:eastAsia="仿宋_GB2312"/>
          <w:sz w:val="32"/>
          <w:szCs w:val="32"/>
          <w:lang w:val="zh-CN"/>
        </w:rPr>
        <w:t>00万元。</w:t>
      </w:r>
      <w:r>
        <w:rPr>
          <w:rFonts w:hint="eastAsia" w:ascii="仿宋_GB2312" w:eastAsia="仿宋_GB2312"/>
          <w:sz w:val="32"/>
          <w:szCs w:val="32"/>
          <w:lang w:val="zh-CN"/>
        </w:rPr>
        <w:t>项目资金申报、批复符合资金管理办法等相关规定。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600" w:lineRule="exact"/>
        <w:ind w:firstLine="720"/>
        <w:rPr>
          <w:rFonts w:ascii="楷体_GB2312" w:hAnsi="宋体" w:eastAsia="楷体_GB2312"/>
          <w:sz w:val="32"/>
          <w:szCs w:val="32"/>
          <w:lang w:val="zh-CN"/>
        </w:rPr>
      </w:pPr>
      <w:r>
        <w:rPr>
          <w:rFonts w:ascii="仿宋_GB2312" w:eastAsia="仿宋_GB2312"/>
          <w:sz w:val="32"/>
          <w:szCs w:val="32"/>
          <w:lang w:val="zh-CN"/>
        </w:rPr>
        <w:t>2020年计划“园保贷”配套补偿资金</w:t>
      </w:r>
      <w:r>
        <w:rPr>
          <w:rFonts w:hint="eastAsia" w:ascii="仿宋_GB2312" w:eastAsia="仿宋_GB2312"/>
          <w:sz w:val="32"/>
          <w:szCs w:val="32"/>
          <w:lang w:val="zh-CN"/>
        </w:rPr>
        <w:t>2</w:t>
      </w:r>
      <w:r>
        <w:rPr>
          <w:rFonts w:ascii="仿宋_GB2312" w:eastAsia="仿宋_GB2312"/>
          <w:sz w:val="32"/>
          <w:szCs w:val="32"/>
          <w:lang w:val="zh-CN"/>
        </w:rPr>
        <w:t>00万元。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截止评价时点，资金到位2</w:t>
      </w:r>
      <w:r>
        <w:rPr>
          <w:rFonts w:ascii="仿宋_GB2312" w:hAnsi="宋体" w:eastAsia="仿宋_GB2312"/>
          <w:sz w:val="32"/>
          <w:szCs w:val="32"/>
          <w:lang w:val="zh-CN"/>
        </w:rPr>
        <w:t>00万元，到位率</w:t>
      </w:r>
      <w:r>
        <w:rPr>
          <w:rFonts w:hint="eastAsia" w:ascii="仿宋_GB2312" w:hAnsi="宋体" w:eastAsia="仿宋_GB2312"/>
          <w:sz w:val="32"/>
          <w:szCs w:val="32"/>
          <w:lang w:val="zh-CN"/>
        </w:rPr>
        <w:t>1</w:t>
      </w:r>
      <w:r>
        <w:rPr>
          <w:rFonts w:ascii="仿宋_GB2312" w:hAnsi="宋体" w:eastAsia="仿宋_GB2312"/>
          <w:sz w:val="32"/>
          <w:szCs w:val="32"/>
          <w:lang w:val="zh-CN"/>
        </w:rPr>
        <w:t>00%。</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截止评价时点该项目支出2</w:t>
      </w:r>
      <w:r>
        <w:rPr>
          <w:rFonts w:ascii="仿宋_GB2312" w:hAnsi="宋体" w:eastAsia="仿宋_GB2312"/>
          <w:sz w:val="32"/>
          <w:szCs w:val="32"/>
          <w:lang w:val="zh-CN"/>
        </w:rPr>
        <w:t>00万元</w:t>
      </w:r>
      <w:r>
        <w:rPr>
          <w:rFonts w:hint="eastAsia" w:ascii="仿宋_GB2312" w:hAnsi="宋体" w:eastAsia="仿宋_GB2312"/>
          <w:sz w:val="32"/>
          <w:szCs w:val="32"/>
          <w:lang w:val="zh-CN"/>
        </w:rPr>
        <w:t>。资金支付符合相关规定，与预算相符。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项目实施单位财务管理制度健全，制定了《达川区“园保贷”管理实施办法(试行)》，严格执行财务制度，账务处理及时，会计核算规范。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召集相关单位（部门）召开相关会议，成立“园保贷”</w:t>
      </w:r>
      <w:r>
        <w:rPr>
          <w:rFonts w:hint="eastAsia" w:ascii="仿宋_GB2312" w:hAnsi="宋体" w:eastAsia="仿宋_GB2312"/>
          <w:sz w:val="32"/>
          <w:szCs w:val="32"/>
          <w:lang w:val="zh-CN"/>
        </w:rPr>
        <w:t>领导小组，办公室设在达川产业新区管委会，办公室主任由达川产业新区工作委员会书记兼任，负责“园保贷”日常沟通协调工作。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（二）项目管理情况 </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园保贷”风险补偿资金池由省级财政补偿金和管委会补偿金按1:1的比例筹集。四川工创公司统一管理“园保贷”风险补偿资金池，在合作银行开设专户归集和托管，银行按资金池总额10倍的额度对企业提供融资支持，贷款发生损失后，由风险补偿金池予以偿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截止评价时点，“园保贷”风险补偿资金严格按照《达川区“园保贷”管理实施办法(试行)》的规定进行运行，效果良好。</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截止评价时点，“园保贷”风险补偿资金</w:t>
      </w:r>
      <w:r>
        <w:rPr>
          <w:rFonts w:hint="eastAsia" w:ascii="仿宋_GB2312" w:hAnsi="宋体" w:eastAsia="仿宋_GB2312"/>
          <w:sz w:val="32"/>
          <w:szCs w:val="32"/>
        </w:rPr>
        <w:t>按要求已完成“园保贷”园区配套风险金配套工作。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按要求已完成“园保贷”配套风险补偿金工作，满意度大于9</w:t>
      </w:r>
      <w:r>
        <w:rPr>
          <w:rFonts w:ascii="仿宋_GB2312" w:hAnsi="宋体" w:eastAsia="仿宋_GB2312"/>
          <w:sz w:val="32"/>
          <w:szCs w:val="32"/>
          <w:lang w:val="zh-CN"/>
        </w:rPr>
        <w:t>0%以上</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“园保贷”配套风险补偿金项目，有效解决了我区微小企业贷款难的问题，为我区企业的发展起到了积极促进作用。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园区部份企业没有资产抵押，不符合“园保贷”合作银行贷款条件，导致不能取得“园保贷”项目贷款。</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pPr>
      <w:r>
        <w:rPr>
          <w:rFonts w:hint="eastAsia" w:ascii="仿宋_GB2312" w:hAnsi="宋体" w:eastAsia="仿宋_GB2312"/>
          <w:sz w:val="32"/>
          <w:szCs w:val="32"/>
          <w:lang w:val="zh-CN"/>
        </w:rPr>
        <w:t>修订《达川区“园保贷”管理实施办法》，扩大“园保贷”项目资金适用企业范围，适当降低“园保贷”项目贷款条件，更好地服务全区中小微企业，使其发挥更大的经济效益和社会效益。</w:t>
      </w: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spacing w:line="600" w:lineRule="exact"/>
        <w:jc w:val="center"/>
        <w:outlineLvl w:val="0"/>
        <w:rPr>
          <w:rStyle w:val="17"/>
          <w:rFonts w:ascii="黑体" w:hAnsi="黑体" w:eastAsia="黑体"/>
          <w:b w:val="0"/>
        </w:rPr>
      </w:pPr>
      <w:bookmarkStart w:id="57"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5"/>
      <w:bookmarkEnd w:id="57"/>
    </w:p>
    <w:p>
      <w:pPr>
        <w:spacing w:line="600" w:lineRule="exact"/>
        <w:jc w:val="center"/>
        <w:outlineLvl w:val="0"/>
        <w:rPr>
          <w:rFonts w:ascii="仿宋" w:hAnsi="仿宋" w:eastAsia="仿宋"/>
          <w:b/>
          <w:color w:val="000000"/>
          <w:sz w:val="44"/>
          <w:szCs w:val="44"/>
        </w:rPr>
      </w:pPr>
    </w:p>
    <w:p>
      <w:pPr>
        <w:pStyle w:val="3"/>
        <w:spacing w:line="300" w:lineRule="exact"/>
        <w:rPr>
          <w:rFonts w:ascii="仿宋" w:hAnsi="仿宋" w:eastAsia="仿宋"/>
          <w:color w:val="000000"/>
        </w:rPr>
      </w:pPr>
      <w:bookmarkStart w:id="58"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58"/>
    </w:p>
    <w:p>
      <w:pPr>
        <w:pStyle w:val="3"/>
        <w:spacing w:line="300" w:lineRule="exact"/>
        <w:rPr>
          <w:rFonts w:ascii="仿宋" w:hAnsi="仿宋" w:eastAsia="仿宋"/>
          <w:color w:val="000000"/>
        </w:rPr>
      </w:pPr>
      <w:bookmarkStart w:id="59"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59"/>
    </w:p>
    <w:p>
      <w:pPr>
        <w:pStyle w:val="3"/>
        <w:spacing w:line="300" w:lineRule="exact"/>
        <w:rPr>
          <w:rFonts w:ascii="仿宋" w:hAnsi="仿宋" w:eastAsia="仿宋"/>
          <w:color w:val="000000"/>
        </w:rPr>
      </w:pPr>
      <w:bookmarkStart w:id="60"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0"/>
    </w:p>
    <w:p>
      <w:pPr>
        <w:pStyle w:val="3"/>
        <w:spacing w:line="300" w:lineRule="exact"/>
        <w:rPr>
          <w:rFonts w:ascii="仿宋" w:hAnsi="仿宋" w:eastAsia="仿宋"/>
          <w:b w:val="0"/>
          <w:color w:val="000000"/>
        </w:rPr>
      </w:pPr>
      <w:bookmarkStart w:id="61"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1"/>
    </w:p>
    <w:p>
      <w:pPr>
        <w:pStyle w:val="3"/>
        <w:spacing w:line="300" w:lineRule="exact"/>
        <w:rPr>
          <w:rStyle w:val="18"/>
          <w:rFonts w:ascii="仿宋" w:hAnsi="仿宋" w:eastAsia="仿宋"/>
          <w:b w:val="0"/>
          <w:bCs w:val="0"/>
        </w:rPr>
      </w:pPr>
      <w:bookmarkStart w:id="62"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2"/>
      <w:bookmarkStart w:id="63" w:name="_Toc15396624"/>
    </w:p>
    <w:p>
      <w:pPr>
        <w:pStyle w:val="3"/>
        <w:spacing w:line="300" w:lineRule="exact"/>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3"/>
    </w:p>
    <w:p>
      <w:pPr>
        <w:pStyle w:val="3"/>
        <w:spacing w:line="300" w:lineRule="exact"/>
        <w:rPr>
          <w:rFonts w:ascii="仿宋" w:hAnsi="仿宋" w:eastAsia="仿宋"/>
          <w:color w:val="000000"/>
        </w:rPr>
      </w:pPr>
      <w:bookmarkStart w:id="64"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4"/>
    </w:p>
    <w:p>
      <w:pPr>
        <w:pStyle w:val="3"/>
        <w:spacing w:line="300" w:lineRule="exact"/>
        <w:rPr>
          <w:rFonts w:ascii="仿宋" w:hAnsi="仿宋" w:eastAsia="仿宋"/>
          <w:color w:val="000000"/>
        </w:rPr>
      </w:pPr>
      <w:bookmarkStart w:id="65"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5"/>
    </w:p>
    <w:p>
      <w:pPr>
        <w:pStyle w:val="3"/>
        <w:spacing w:line="300" w:lineRule="exact"/>
        <w:rPr>
          <w:rFonts w:ascii="仿宋" w:hAnsi="仿宋" w:eastAsia="仿宋"/>
          <w:color w:val="000000"/>
        </w:rPr>
      </w:pPr>
      <w:bookmarkStart w:id="66"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6"/>
    </w:p>
    <w:p>
      <w:pPr>
        <w:pStyle w:val="3"/>
        <w:spacing w:line="300" w:lineRule="exact"/>
        <w:rPr>
          <w:rFonts w:ascii="仿宋" w:hAnsi="仿宋" w:eastAsia="仿宋"/>
          <w:color w:val="000000"/>
        </w:rPr>
      </w:pPr>
      <w:bookmarkStart w:id="67"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7"/>
    </w:p>
    <w:p>
      <w:pPr>
        <w:pStyle w:val="3"/>
        <w:spacing w:line="300" w:lineRule="exact"/>
        <w:rPr>
          <w:rFonts w:ascii="仿宋" w:hAnsi="仿宋" w:eastAsia="仿宋"/>
          <w:color w:val="000000"/>
        </w:rPr>
      </w:pPr>
      <w:bookmarkStart w:id="68"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68"/>
    </w:p>
    <w:p>
      <w:pPr>
        <w:pStyle w:val="3"/>
        <w:spacing w:line="300" w:lineRule="exact"/>
        <w:rPr>
          <w:rFonts w:ascii="仿宋" w:hAnsi="仿宋" w:eastAsia="仿宋"/>
          <w:color w:val="000000"/>
        </w:rPr>
      </w:pPr>
      <w:bookmarkStart w:id="69"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69"/>
    </w:p>
    <w:p>
      <w:pPr>
        <w:pStyle w:val="3"/>
        <w:spacing w:line="300" w:lineRule="exact"/>
        <w:rPr>
          <w:rStyle w:val="18"/>
          <w:rFonts w:ascii="仿宋" w:hAnsi="仿宋" w:eastAsia="仿宋"/>
          <w:b w:val="0"/>
          <w:bCs w:val="0"/>
        </w:rPr>
      </w:pPr>
      <w:bookmarkStart w:id="70"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有资本经营预算财政拨款收入支出决算表</w:t>
      </w:r>
      <w:bookmarkEnd w:id="70"/>
    </w:p>
    <w:p>
      <w:pPr>
        <w:pStyle w:val="3"/>
        <w:spacing w:line="300" w:lineRule="exact"/>
        <w:rPr>
          <w:rStyle w:val="18"/>
          <w:rFonts w:ascii="仿宋" w:hAnsi="仿宋" w:eastAsia="仿宋"/>
          <w:b w:val="0"/>
          <w:bCs w:val="0"/>
        </w:rPr>
      </w:pPr>
      <w:r>
        <w:rPr>
          <w:rStyle w:val="18"/>
          <w:rFonts w:hint="eastAsia" w:ascii="仿宋" w:hAnsi="仿宋" w:eastAsia="仿宋"/>
          <w:b w:val="0"/>
          <w:bCs w:val="0"/>
        </w:rPr>
        <w:t>十四、</w:t>
      </w:r>
      <w:r>
        <w:rPr>
          <w:rFonts w:hint="eastAsia" w:ascii="仿宋" w:hAnsi="仿宋" w:eastAsia="仿宋"/>
          <w:b w:val="0"/>
          <w:color w:val="000000"/>
        </w:rPr>
        <w:t>国</w:t>
      </w:r>
      <w:r>
        <w:rPr>
          <w:rStyle w:val="18"/>
          <w:rFonts w:hint="eastAsia" w:ascii="仿宋" w:hAnsi="仿宋" w:eastAsia="仿宋"/>
          <w:b w:val="0"/>
          <w:bCs w:val="0"/>
        </w:rPr>
        <w:t>有资本经营预算财政拨款支出决算表</w:t>
      </w:r>
    </w:p>
    <w:p>
      <w:pPr>
        <w:pStyle w:val="3"/>
        <w:spacing w:line="300" w:lineRule="exact"/>
        <w:rPr>
          <w:rStyle w:val="18"/>
          <w:rFonts w:ascii="仿宋" w:hAnsi="仿宋" w:eastAsia="仿宋"/>
          <w:b w:val="0"/>
          <w:bCs w:val="0"/>
        </w:rPr>
      </w:pPr>
    </w:p>
    <w:sectPr>
      <w:headerReference r:id="rId3" w:type="default"/>
      <w:footerReference r:id="rId4" w:type="default"/>
      <w:pgSz w:w="11906" w:h="16838"/>
      <w:pgMar w:top="2098" w:right="1474" w:bottom="1985"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25</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105B684D"/>
    <w:multiLevelType w:val="singleLevel"/>
    <w:tmpl w:val="105B684D"/>
    <w:lvl w:ilvl="0" w:tentative="0">
      <w:start w:val="1"/>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391F3405"/>
    <w:multiLevelType w:val="singleLevel"/>
    <w:tmpl w:val="391F3405"/>
    <w:lvl w:ilvl="0" w:tentative="0">
      <w:start w:val="1"/>
      <w:numFmt w:val="chineseCounting"/>
      <w:suff w:val="nothing"/>
      <w:lvlText w:val="（%1）"/>
      <w:lvlJc w:val="left"/>
      <w:rPr>
        <w:rFonts w:hint="eastAsia"/>
      </w:rPr>
    </w:lvl>
  </w:abstractNum>
  <w:abstractNum w:abstractNumId="4">
    <w:nsid w:val="54FE5F43"/>
    <w:multiLevelType w:val="multilevel"/>
    <w:tmpl w:val="54FE5F4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0YjRjMzY4Y2EyMDI4MzcwODVjNmZjZTYyZTdiNzAifQ=="/>
  </w:docVars>
  <w:rsids>
    <w:rsidRoot w:val="00F1361C"/>
    <w:rsid w:val="000222C6"/>
    <w:rsid w:val="0002549F"/>
    <w:rsid w:val="000468DB"/>
    <w:rsid w:val="0006487A"/>
    <w:rsid w:val="00065F8F"/>
    <w:rsid w:val="00070A43"/>
    <w:rsid w:val="00074293"/>
    <w:rsid w:val="000768F2"/>
    <w:rsid w:val="0009184B"/>
    <w:rsid w:val="00094236"/>
    <w:rsid w:val="0009593C"/>
    <w:rsid w:val="00097322"/>
    <w:rsid w:val="00097B28"/>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3C6A"/>
    <w:rsid w:val="00196687"/>
    <w:rsid w:val="001A03A3"/>
    <w:rsid w:val="001A4F19"/>
    <w:rsid w:val="001C0962"/>
    <w:rsid w:val="001D7531"/>
    <w:rsid w:val="001E737D"/>
    <w:rsid w:val="001F0592"/>
    <w:rsid w:val="001F7506"/>
    <w:rsid w:val="002006CD"/>
    <w:rsid w:val="00202B36"/>
    <w:rsid w:val="00204B7A"/>
    <w:rsid w:val="00204CDE"/>
    <w:rsid w:val="00207CC7"/>
    <w:rsid w:val="0021101A"/>
    <w:rsid w:val="00220536"/>
    <w:rsid w:val="002210D4"/>
    <w:rsid w:val="00222299"/>
    <w:rsid w:val="002345B7"/>
    <w:rsid w:val="00235629"/>
    <w:rsid w:val="00252135"/>
    <w:rsid w:val="00256262"/>
    <w:rsid w:val="00260C38"/>
    <w:rsid w:val="002616C0"/>
    <w:rsid w:val="00265372"/>
    <w:rsid w:val="002662AA"/>
    <w:rsid w:val="00280496"/>
    <w:rsid w:val="00294DC9"/>
    <w:rsid w:val="00295495"/>
    <w:rsid w:val="002A31DE"/>
    <w:rsid w:val="002A6B11"/>
    <w:rsid w:val="002B2613"/>
    <w:rsid w:val="002C6801"/>
    <w:rsid w:val="002D6D05"/>
    <w:rsid w:val="002E3CD2"/>
    <w:rsid w:val="002E6A38"/>
    <w:rsid w:val="002F1818"/>
    <w:rsid w:val="002F567B"/>
    <w:rsid w:val="00307E39"/>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38D2"/>
    <w:rsid w:val="003D66DA"/>
    <w:rsid w:val="003E1310"/>
    <w:rsid w:val="003E6F55"/>
    <w:rsid w:val="00406254"/>
    <w:rsid w:val="004223DE"/>
    <w:rsid w:val="00434489"/>
    <w:rsid w:val="00437085"/>
    <w:rsid w:val="00443880"/>
    <w:rsid w:val="004464F4"/>
    <w:rsid w:val="00455BC8"/>
    <w:rsid w:val="00471401"/>
    <w:rsid w:val="00473F31"/>
    <w:rsid w:val="00477211"/>
    <w:rsid w:val="0048263A"/>
    <w:rsid w:val="00487E5D"/>
    <w:rsid w:val="004A711F"/>
    <w:rsid w:val="004B199D"/>
    <w:rsid w:val="004B4690"/>
    <w:rsid w:val="004E0A2D"/>
    <w:rsid w:val="004E1E3F"/>
    <w:rsid w:val="004E206B"/>
    <w:rsid w:val="004E6DF7"/>
    <w:rsid w:val="004F0FBD"/>
    <w:rsid w:val="00505A47"/>
    <w:rsid w:val="00512FDA"/>
    <w:rsid w:val="00520DA0"/>
    <w:rsid w:val="005269D7"/>
    <w:rsid w:val="005664BB"/>
    <w:rsid w:val="00566FFA"/>
    <w:rsid w:val="0057481D"/>
    <w:rsid w:val="0057553C"/>
    <w:rsid w:val="0058486E"/>
    <w:rsid w:val="00585B33"/>
    <w:rsid w:val="0059014D"/>
    <w:rsid w:val="005A5913"/>
    <w:rsid w:val="005B5C64"/>
    <w:rsid w:val="005C5337"/>
    <w:rsid w:val="005C6BD0"/>
    <w:rsid w:val="005D17F3"/>
    <w:rsid w:val="005D1C8B"/>
    <w:rsid w:val="005D468D"/>
    <w:rsid w:val="005D5CED"/>
    <w:rsid w:val="005E0FA8"/>
    <w:rsid w:val="005F1A4C"/>
    <w:rsid w:val="0060082D"/>
    <w:rsid w:val="00605688"/>
    <w:rsid w:val="006070AF"/>
    <w:rsid w:val="00607E6C"/>
    <w:rsid w:val="006101B1"/>
    <w:rsid w:val="00614E44"/>
    <w:rsid w:val="0062270A"/>
    <w:rsid w:val="00622830"/>
    <w:rsid w:val="00623A1D"/>
    <w:rsid w:val="00623DA0"/>
    <w:rsid w:val="00630AEF"/>
    <w:rsid w:val="006325F8"/>
    <w:rsid w:val="00633463"/>
    <w:rsid w:val="00634C9A"/>
    <w:rsid w:val="006440E4"/>
    <w:rsid w:val="0066343B"/>
    <w:rsid w:val="00664777"/>
    <w:rsid w:val="006748A4"/>
    <w:rsid w:val="00681A31"/>
    <w:rsid w:val="00683E73"/>
    <w:rsid w:val="00695502"/>
    <w:rsid w:val="006A3141"/>
    <w:rsid w:val="006A5E34"/>
    <w:rsid w:val="006B2422"/>
    <w:rsid w:val="006B2B9A"/>
    <w:rsid w:val="006B2CB4"/>
    <w:rsid w:val="006C1937"/>
    <w:rsid w:val="006E07A9"/>
    <w:rsid w:val="006F020C"/>
    <w:rsid w:val="006F400A"/>
    <w:rsid w:val="007127B7"/>
    <w:rsid w:val="0071798E"/>
    <w:rsid w:val="007416B6"/>
    <w:rsid w:val="00746F48"/>
    <w:rsid w:val="007472C4"/>
    <w:rsid w:val="0075404D"/>
    <w:rsid w:val="0076182A"/>
    <w:rsid w:val="00766262"/>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5C14"/>
    <w:rsid w:val="00826518"/>
    <w:rsid w:val="0083706E"/>
    <w:rsid w:val="008408F6"/>
    <w:rsid w:val="008423A5"/>
    <w:rsid w:val="00844567"/>
    <w:rsid w:val="00850625"/>
    <w:rsid w:val="00853718"/>
    <w:rsid w:val="00855221"/>
    <w:rsid w:val="00860645"/>
    <w:rsid w:val="00871F71"/>
    <w:rsid w:val="00872FD8"/>
    <w:rsid w:val="00885AF4"/>
    <w:rsid w:val="008939CD"/>
    <w:rsid w:val="008B5FB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A2D06"/>
    <w:rsid w:val="009B2C43"/>
    <w:rsid w:val="009B4EAE"/>
    <w:rsid w:val="009B7573"/>
    <w:rsid w:val="009C22F4"/>
    <w:rsid w:val="009C2A4B"/>
    <w:rsid w:val="009C2E98"/>
    <w:rsid w:val="009D3447"/>
    <w:rsid w:val="009D4711"/>
    <w:rsid w:val="009E0BE9"/>
    <w:rsid w:val="009F1185"/>
    <w:rsid w:val="009F18CD"/>
    <w:rsid w:val="009F2A13"/>
    <w:rsid w:val="009F7527"/>
    <w:rsid w:val="00A04C4B"/>
    <w:rsid w:val="00A04EB0"/>
    <w:rsid w:val="00A12C0E"/>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18D3"/>
    <w:rsid w:val="00A91760"/>
    <w:rsid w:val="00A93B00"/>
    <w:rsid w:val="00A93C21"/>
    <w:rsid w:val="00AB64C9"/>
    <w:rsid w:val="00AC2544"/>
    <w:rsid w:val="00AC3C6A"/>
    <w:rsid w:val="00AD4966"/>
    <w:rsid w:val="00AD5620"/>
    <w:rsid w:val="00AD656B"/>
    <w:rsid w:val="00AD7C1B"/>
    <w:rsid w:val="00AE01D1"/>
    <w:rsid w:val="00AE16BA"/>
    <w:rsid w:val="00AE1EBE"/>
    <w:rsid w:val="00AF746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14A"/>
    <w:rsid w:val="00BD0E25"/>
    <w:rsid w:val="00BF5BD6"/>
    <w:rsid w:val="00C03E31"/>
    <w:rsid w:val="00C114FF"/>
    <w:rsid w:val="00C33E72"/>
    <w:rsid w:val="00C354B2"/>
    <w:rsid w:val="00C35554"/>
    <w:rsid w:val="00C42709"/>
    <w:rsid w:val="00C533CC"/>
    <w:rsid w:val="00C552BE"/>
    <w:rsid w:val="00C5751C"/>
    <w:rsid w:val="00C61BFC"/>
    <w:rsid w:val="00C62B85"/>
    <w:rsid w:val="00C65438"/>
    <w:rsid w:val="00C87FD8"/>
    <w:rsid w:val="00C91381"/>
    <w:rsid w:val="00C91CBB"/>
    <w:rsid w:val="00CB0C25"/>
    <w:rsid w:val="00CB4E70"/>
    <w:rsid w:val="00CB5E6F"/>
    <w:rsid w:val="00CC09B6"/>
    <w:rsid w:val="00CC666F"/>
    <w:rsid w:val="00CD1E3F"/>
    <w:rsid w:val="00CD2511"/>
    <w:rsid w:val="00CE44F6"/>
    <w:rsid w:val="00CE49DA"/>
    <w:rsid w:val="00CE7B61"/>
    <w:rsid w:val="00D00095"/>
    <w:rsid w:val="00D114F0"/>
    <w:rsid w:val="00D13F83"/>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5EEF"/>
    <w:rsid w:val="00DC68CA"/>
    <w:rsid w:val="00DC7CBA"/>
    <w:rsid w:val="00DD73B7"/>
    <w:rsid w:val="00DF28BC"/>
    <w:rsid w:val="00DF34B9"/>
    <w:rsid w:val="00E0025B"/>
    <w:rsid w:val="00E01053"/>
    <w:rsid w:val="00E07ACF"/>
    <w:rsid w:val="00E32CAD"/>
    <w:rsid w:val="00E331A1"/>
    <w:rsid w:val="00E33202"/>
    <w:rsid w:val="00E336A9"/>
    <w:rsid w:val="00E472B1"/>
    <w:rsid w:val="00E50624"/>
    <w:rsid w:val="00E568DF"/>
    <w:rsid w:val="00E64269"/>
    <w:rsid w:val="00E66502"/>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0655"/>
    <w:rsid w:val="00F2408F"/>
    <w:rsid w:val="00F240E9"/>
    <w:rsid w:val="00F36D8F"/>
    <w:rsid w:val="00F417B1"/>
    <w:rsid w:val="00F45853"/>
    <w:rsid w:val="00F602DF"/>
    <w:rsid w:val="00F671B2"/>
    <w:rsid w:val="00F754A1"/>
    <w:rsid w:val="00F81FD9"/>
    <w:rsid w:val="00F841AA"/>
    <w:rsid w:val="00F84A94"/>
    <w:rsid w:val="00F87E96"/>
    <w:rsid w:val="00FA23E8"/>
    <w:rsid w:val="00FD3CC1"/>
    <w:rsid w:val="00FF1E02"/>
    <w:rsid w:val="00FF30B4"/>
    <w:rsid w:val="0A2032A3"/>
    <w:rsid w:val="10C055FF"/>
    <w:rsid w:val="118107EC"/>
    <w:rsid w:val="16BB723D"/>
    <w:rsid w:val="1D155CEE"/>
    <w:rsid w:val="240371BF"/>
    <w:rsid w:val="29FD04D3"/>
    <w:rsid w:val="319F7F4E"/>
    <w:rsid w:val="4ECE2238"/>
    <w:rsid w:val="55634B63"/>
    <w:rsid w:val="6C4A05C8"/>
    <w:rsid w:val="72734D90"/>
    <w:rsid w:val="7EAD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4"/>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unhideWhenUsed/>
    <w:qFormat/>
    <w:uiPriority w:val="99"/>
    <w:rPr>
      <w:rFonts w:cs="Times New Roman"/>
      <w:color w:val="0000FF"/>
      <w:u w:val="single"/>
    </w:rPr>
  </w:style>
  <w:style w:type="character" w:customStyle="1" w:styleId="16">
    <w:name w:val="Header Char"/>
    <w:basedOn w:val="13"/>
    <w:semiHidden/>
    <w:qFormat/>
    <w:uiPriority w:val="99"/>
    <w:rPr>
      <w:rFonts w:ascii="Times New Roman" w:hAnsi="Times New Roman" w:cs="Times New Roman"/>
      <w:sz w:val="18"/>
      <w:szCs w:val="18"/>
    </w:rPr>
  </w:style>
  <w:style w:type="character" w:customStyle="1" w:styleId="17">
    <w:name w:val="标题 1 Char"/>
    <w:basedOn w:val="13"/>
    <w:link w:val="2"/>
    <w:qFormat/>
    <w:locked/>
    <w:uiPriority w:val="9"/>
    <w:rPr>
      <w:rFonts w:ascii="Times New Roman" w:hAnsi="Times New Roman" w:cs="Times New Roman"/>
      <w:b/>
      <w:bCs/>
      <w:kern w:val="44"/>
      <w:sz w:val="44"/>
      <w:szCs w:val="44"/>
    </w:rPr>
  </w:style>
  <w:style w:type="character" w:customStyle="1" w:styleId="18">
    <w:name w:val="标题 2 Char"/>
    <w:basedOn w:val="13"/>
    <w:link w:val="3"/>
    <w:qFormat/>
    <w:locked/>
    <w:uiPriority w:val="9"/>
    <w:rPr>
      <w:rFonts w:ascii="Cambria" w:hAnsi="Cambria" w:eastAsia="宋体" w:cs="Times New Roman"/>
      <w:b/>
      <w:bCs/>
      <w:kern w:val="2"/>
      <w:sz w:val="32"/>
      <w:szCs w:val="32"/>
    </w:rPr>
  </w:style>
  <w:style w:type="character" w:customStyle="1" w:styleId="19">
    <w:name w:val="页脚 Char"/>
    <w:qFormat/>
    <w:locked/>
    <w:uiPriority w:val="99"/>
    <w:rPr>
      <w:sz w:val="18"/>
    </w:rPr>
  </w:style>
  <w:style w:type="character" w:customStyle="1" w:styleId="20">
    <w:name w:val="标题 3 Char"/>
    <w:basedOn w:val="13"/>
    <w:link w:val="4"/>
    <w:qFormat/>
    <w:locked/>
    <w:uiPriority w:val="9"/>
    <w:rPr>
      <w:rFonts w:ascii="Times New Roman" w:hAnsi="Times New Roman" w:cs="Times New Roman"/>
      <w:b/>
      <w:bCs/>
      <w:kern w:val="2"/>
      <w:sz w:val="32"/>
      <w:szCs w:val="32"/>
    </w:rPr>
  </w:style>
  <w:style w:type="character" w:customStyle="1" w:styleId="21">
    <w:name w:val="页脚 Char1"/>
    <w:basedOn w:val="13"/>
    <w:link w:val="8"/>
    <w:semiHidden/>
    <w:qFormat/>
    <w:uiPriority w:val="99"/>
    <w:rPr>
      <w:rFonts w:ascii="Times New Roman" w:hAnsi="Times New Roman" w:cs="Times New Roman"/>
      <w:sz w:val="18"/>
      <w:szCs w:val="18"/>
    </w:rPr>
  </w:style>
  <w:style w:type="character" w:customStyle="1" w:styleId="22">
    <w:name w:val="Body Text Char"/>
    <w:basedOn w:val="13"/>
    <w:semiHidden/>
    <w:qFormat/>
    <w:uiPriority w:val="99"/>
    <w:rPr>
      <w:rFonts w:ascii="Times New Roman" w:hAnsi="Times New Roman" w:cs="Times New Roman"/>
      <w:sz w:val="24"/>
      <w:szCs w:val="24"/>
    </w:rPr>
  </w:style>
  <w:style w:type="character" w:customStyle="1" w:styleId="23">
    <w:name w:val="正文文本 Char"/>
    <w:link w:val="5"/>
    <w:qFormat/>
    <w:locked/>
    <w:uiPriority w:val="99"/>
    <w:rPr>
      <w:rFonts w:ascii="仿宋_GB2312" w:hAnsi="Times New Roman" w:eastAsia="仿宋_GB2312"/>
      <w:sz w:val="24"/>
    </w:rPr>
  </w:style>
  <w:style w:type="character" w:customStyle="1" w:styleId="24">
    <w:name w:val="批注框文本 Char"/>
    <w:basedOn w:val="13"/>
    <w:link w:val="7"/>
    <w:semiHidden/>
    <w:qFormat/>
    <w:locked/>
    <w:uiPriority w:val="99"/>
    <w:rPr>
      <w:rFonts w:ascii="Times New Roman" w:hAnsi="Times New Roman" w:cs="Times New Roman"/>
      <w:kern w:val="2"/>
      <w:sz w:val="18"/>
      <w:szCs w:val="18"/>
    </w:rPr>
  </w:style>
  <w:style w:type="character" w:customStyle="1" w:styleId="25">
    <w:name w:val="页眉 Char"/>
    <w:link w:val="9"/>
    <w:semiHidden/>
    <w:qFormat/>
    <w:locked/>
    <w:uiPriority w:val="99"/>
    <w:rPr>
      <w:sz w:val="18"/>
    </w:rPr>
  </w:style>
  <w:style w:type="paragraph" w:customStyle="1" w:styleId="26">
    <w:name w:val="列出段落1"/>
    <w:basedOn w:val="1"/>
    <w:qFormat/>
    <w:uiPriority w:val="34"/>
    <w:pPr>
      <w:ind w:firstLine="420" w:firstLineChars="200"/>
    </w:pPr>
  </w:style>
  <w:style w:type="paragraph" w:customStyle="1" w:styleId="27">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0">
    <w:name w:val="Subtle Emphasis"/>
    <w:basedOn w:val="13"/>
    <w:qFormat/>
    <w:uiPriority w:val="19"/>
    <w:rPr>
      <w:i/>
      <w:iCs/>
      <w:color w:val="404040" w:themeColor="text1" w:themeTint="BF"/>
      <w14:textFill>
        <w14:solidFill>
          <w14:schemeClr w14:val="tx1">
            <w14:lumMod w14:val="75000"/>
            <w14:lumOff w14:val="25000"/>
          </w14:schemeClr>
        </w14:solidFill>
      </w14:textFill>
    </w:rPr>
  </w:style>
  <w:style w:type="paragraph" w:styleId="31">
    <w:name w:val="List Paragraph"/>
    <w:basedOn w:val="1"/>
    <w:uiPriority w:val="99"/>
    <w:pPr>
      <w:ind w:firstLine="420" w:firstLineChars="200"/>
    </w:pPr>
    <w:rPr>
      <w:rFonts w:asciiTheme="minorHAnsi" w:hAnsiTheme="minorHAnsi" w:eastAsiaTheme="minorEastAsia" w:cstheme="minorBidi"/>
    </w:rPr>
  </w:style>
  <w:style w:type="paragraph" w:customStyle="1" w:styleId="32">
    <w:name w:val="四号正文"/>
    <w:basedOn w:val="1"/>
    <w:qFormat/>
    <w:uiPriority w:val="0"/>
    <w:pPr>
      <w:spacing w:line="360" w:lineRule="auto"/>
    </w:pPr>
    <w:rPr>
      <w:rFonts w:ascii="??" w:hAnsi="??"/>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3362645593443"/>
          <c:y val="0.27264335923349"/>
          <c:w val="0.904806420570096"/>
          <c:h val="0.64931567379124"/>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c:v>
                </c:pt>
                <c:pt idx="1">
                  <c:v>2020年</c:v>
                </c:pt>
              </c:strCache>
            </c:strRef>
          </c:cat>
          <c:val>
            <c:numRef>
              <c:f>Sheet1!$B$2:$B$5</c:f>
              <c:numCache>
                <c:formatCode>General</c:formatCode>
                <c:ptCount val="4"/>
                <c:pt idx="0">
                  <c:v>0</c:v>
                </c:pt>
                <c:pt idx="1">
                  <c:v>230</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c:v>
                </c:pt>
                <c:pt idx="1">
                  <c:v>2020年</c:v>
                </c:pt>
              </c:strCache>
            </c:strRef>
          </c:cat>
          <c:val>
            <c:numRef>
              <c:f>Sheet1!$C$2:$C$5</c:f>
              <c:numCache>
                <c:formatCode>General</c:formatCode>
                <c:ptCount val="4"/>
                <c:pt idx="0">
                  <c:v>0</c:v>
                </c:pt>
                <c:pt idx="1">
                  <c:v>19.91</c:v>
                </c:pt>
              </c:numCache>
            </c:numRef>
          </c:val>
        </c:ser>
        <c:dLbls>
          <c:showLegendKey val="0"/>
          <c:showVal val="0"/>
          <c:showCatName val="0"/>
          <c:showSerName val="0"/>
          <c:showPercent val="0"/>
          <c:showBubbleSize val="0"/>
        </c:dLbls>
        <c:gapWidth val="219"/>
        <c:overlap val="-27"/>
        <c:axId val="345007288"/>
        <c:axId val="345008072"/>
      </c:barChart>
      <c:catAx>
        <c:axId val="345007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008072"/>
        <c:crosses val="autoZero"/>
        <c:auto val="1"/>
        <c:lblAlgn val="ctr"/>
        <c:lblOffset val="100"/>
        <c:noMultiLvlLbl val="0"/>
      </c:catAx>
      <c:valAx>
        <c:axId val="345008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007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35"/>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公共预算收入</c:v>
                </c:pt>
                <c:pt idx="1">
                  <c:v>基金预算收入</c:v>
                </c:pt>
              </c:strCache>
            </c:strRef>
          </c:cat>
          <c:val>
            <c:numRef>
              <c:f>Sheet1!$B$2:$B$5</c:f>
              <c:numCache>
                <c:formatCode>General</c:formatCode>
                <c:ptCount val="4"/>
                <c:pt idx="0">
                  <c:v>30</c:v>
                </c:pt>
                <c:pt idx="1">
                  <c:v>230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39"/>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基本支出</c:v>
                </c:pt>
                <c:pt idx="1">
                  <c:v>项目支出</c:v>
                </c:pt>
              </c:strCache>
            </c:strRef>
          </c:cat>
          <c:val>
            <c:numRef>
              <c:f>Sheet1!$B$2:$B$5</c:f>
              <c:numCache>
                <c:formatCode>General</c:formatCode>
                <c:ptCount val="4"/>
                <c:pt idx="0">
                  <c:v>19.91</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3362645593443"/>
          <c:y val="0.27264335923349"/>
          <c:w val="0.904806420570096"/>
          <c:h val="0.64931567379124"/>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c:v>
                </c:pt>
                <c:pt idx="1">
                  <c:v>2020年</c:v>
                </c:pt>
              </c:strCache>
            </c:strRef>
          </c:cat>
          <c:val>
            <c:numRef>
              <c:f>Sheet1!$B$2:$B$5</c:f>
              <c:numCache>
                <c:formatCode>General</c:formatCode>
                <c:ptCount val="4"/>
                <c:pt idx="0">
                  <c:v>0</c:v>
                </c:pt>
                <c:pt idx="1">
                  <c:v>230</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c:v>
                </c:pt>
                <c:pt idx="1">
                  <c:v>2020年</c:v>
                </c:pt>
              </c:strCache>
            </c:strRef>
          </c:cat>
          <c:val>
            <c:numRef>
              <c:f>Sheet1!$C$2:$C$5</c:f>
              <c:numCache>
                <c:formatCode>General</c:formatCode>
                <c:ptCount val="4"/>
                <c:pt idx="0">
                  <c:v>0</c:v>
                </c:pt>
                <c:pt idx="1">
                  <c:v>19.91</c:v>
                </c:pt>
              </c:numCache>
            </c:numRef>
          </c:val>
        </c:ser>
        <c:dLbls>
          <c:showLegendKey val="0"/>
          <c:showVal val="0"/>
          <c:showCatName val="0"/>
          <c:showSerName val="0"/>
          <c:showPercent val="0"/>
          <c:showBubbleSize val="0"/>
        </c:dLbls>
        <c:gapWidth val="219"/>
        <c:overlap val="-27"/>
        <c:axId val="549157624"/>
        <c:axId val="549156840"/>
      </c:barChart>
      <c:catAx>
        <c:axId val="549157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9156840"/>
        <c:crosses val="autoZero"/>
        <c:auto val="1"/>
        <c:lblAlgn val="ctr"/>
        <c:lblOffset val="100"/>
        <c:noMultiLvlLbl val="0"/>
      </c:catAx>
      <c:valAx>
        <c:axId val="549156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915762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7386401386258"/>
          <c:y val="0.0772253114587092"/>
          <c:w val="0.904806420570096"/>
          <c:h val="0.64931567379124"/>
        </c:manualLayout>
      </c:layout>
      <c:barChart>
        <c:barDir val="col"/>
        <c:grouping val="clustered"/>
        <c:varyColors val="0"/>
        <c:ser>
          <c:idx val="0"/>
          <c:order val="0"/>
          <c:tx>
            <c:strRef>
              <c:f>Sheet1!$B$1</c:f>
              <c:strCache>
                <c:ptCount val="1"/>
                <c:pt idx="0">
                  <c:v>支出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c:v>
                </c:pt>
                <c:pt idx="1">
                  <c:v>2020年</c:v>
                </c:pt>
              </c:strCache>
            </c:strRef>
          </c:cat>
          <c:val>
            <c:numRef>
              <c:f>Sheet1!$B$2:$B$5</c:f>
              <c:numCache>
                <c:formatCode>General</c:formatCode>
                <c:ptCount val="4"/>
                <c:pt idx="0">
                  <c:v>0</c:v>
                </c:pt>
                <c:pt idx="1">
                  <c:v>19.91</c:v>
                </c:pt>
              </c:numCache>
            </c:numRef>
          </c:val>
        </c:ser>
        <c:dLbls>
          <c:showLegendKey val="0"/>
          <c:showVal val="0"/>
          <c:showCatName val="0"/>
          <c:showSerName val="0"/>
          <c:showPercent val="0"/>
          <c:showBubbleSize val="0"/>
        </c:dLbls>
        <c:gapWidth val="219"/>
        <c:overlap val="-27"/>
        <c:axId val="542762576"/>
        <c:axId val="552164208"/>
      </c:barChart>
      <c:catAx>
        <c:axId val="54276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2164208"/>
        <c:crosses val="autoZero"/>
        <c:auto val="1"/>
        <c:lblAlgn val="ctr"/>
        <c:lblOffset val="100"/>
        <c:noMultiLvlLbl val="0"/>
      </c:catAx>
      <c:valAx>
        <c:axId val="55216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76257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城乡社区</c:v>
                </c:pt>
              </c:strCache>
            </c:strRef>
          </c:tx>
          <c:spPr/>
          <c:explosion val="39"/>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城乡社区</c:v>
                </c:pt>
                <c:pt idx="1">
                  <c:v>其他</c:v>
                </c:pt>
              </c:strCache>
            </c:strRef>
          </c:cat>
          <c:val>
            <c:numRef>
              <c:f>Sheet1!$B$2:$B$3</c:f>
              <c:numCache>
                <c:formatCode>General</c:formatCode>
                <c:ptCount val="2"/>
                <c:pt idx="0">
                  <c:v>19.91</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26</Pages>
  <Words>8629</Words>
  <Characters>9093</Characters>
  <Lines>67</Lines>
  <Paragraphs>18</Paragraphs>
  <TotalTime>257</TotalTime>
  <ScaleCrop>false</ScaleCrop>
  <LinksUpToDate>false</LinksUpToDate>
  <CharactersWithSpaces>9140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2021-09-09T05:41:00Z</dcterms:created>
  <dc:creator>曹颖</dc:creator>
  <cp:lastModifiedBy>Hakuna matata</cp:lastModifiedBy>
  <cp:lastPrinted>2021-07-29T03:56:00Z</cp:lastPrinted>
  <dcterms:modified xsi:type="dcterms:W3CDTF">2022-05-30T01:05:45Z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94682F8744FC4AAABB826CCD3538F612</vt:lpwstr>
  </property>
</Properties>
</file>