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bookmarkStart w:id="80" w:name="_GoBack"/>
    </w:p>
    <w:p>
      <w:pPr>
        <w:adjustRightInd w:val="0"/>
        <w:snapToGrid w:val="0"/>
        <w:spacing w:line="360" w:lineRule="auto"/>
        <w:jc w:val="center"/>
        <w:outlineLvl w:val="0"/>
        <w:rPr>
          <w:rFonts w:ascii="方正小标宋简体" w:hAnsi="宋体" w:eastAsia="方正小标宋简体"/>
          <w:sz w:val="72"/>
          <w:szCs w:val="72"/>
        </w:rPr>
      </w:pPr>
      <w:bookmarkStart w:id="1" w:name="_Toc10711"/>
      <w:bookmarkStart w:id="2" w:name="_Toc15396597"/>
      <w:bookmarkStart w:id="3" w:name="_Toc15378441"/>
      <w:bookmarkStart w:id="4" w:name="_Toc15377425"/>
      <w:bookmarkStart w:id="5" w:name="_Toc15377193"/>
      <w:bookmarkStart w:id="6" w:name="_Toc15396475"/>
      <w:r>
        <w:rPr>
          <w:rFonts w:hint="eastAsia" w:ascii="方正小标宋简体" w:hAnsi="宋体" w:eastAsia="方正小标宋简体"/>
          <w:sz w:val="72"/>
          <w:szCs w:val="72"/>
        </w:rPr>
        <w:t>四川省达州市</w:t>
      </w:r>
      <w:bookmarkEnd w:id="1"/>
      <w:r>
        <w:rPr>
          <w:rFonts w:hint="eastAsia" w:ascii="方正小标宋简体" w:hAnsi="宋体" w:eastAsia="方正小标宋简体"/>
          <w:sz w:val="72"/>
          <w:szCs w:val="72"/>
        </w:rPr>
        <w:t>达川区</w:t>
      </w:r>
    </w:p>
    <w:p>
      <w:pPr>
        <w:adjustRightInd w:val="0"/>
        <w:snapToGrid w:val="0"/>
        <w:spacing w:line="360" w:lineRule="auto"/>
        <w:jc w:val="center"/>
        <w:outlineLvl w:val="0"/>
        <w:rPr>
          <w:rFonts w:ascii="方正小标宋简体" w:hAnsi="宋体" w:eastAsia="方正小标宋简体"/>
          <w:sz w:val="72"/>
          <w:szCs w:val="72"/>
        </w:rPr>
      </w:pPr>
      <w:bookmarkStart w:id="7" w:name="_Toc6274"/>
      <w:r>
        <w:rPr>
          <w:rFonts w:ascii="黑体" w:hAnsi="黑体" w:eastAsia="黑体"/>
          <w:sz w:val="72"/>
          <w:szCs w:val="72"/>
        </w:rPr>
        <w:t>2018</w:t>
      </w:r>
      <w:r>
        <w:rPr>
          <w:rFonts w:hint="eastAsia" w:ascii="方正小标宋简体" w:hAnsi="宋体" w:eastAsia="方正小标宋简体"/>
          <w:sz w:val="72"/>
          <w:szCs w:val="72"/>
        </w:rPr>
        <w:t>年度</w:t>
      </w:r>
      <w:bookmarkEnd w:id="0"/>
      <w:bookmarkEnd w:id="2"/>
      <w:bookmarkEnd w:id="3"/>
      <w:bookmarkEnd w:id="4"/>
      <w:bookmarkEnd w:id="5"/>
      <w:bookmarkEnd w:id="6"/>
      <w:bookmarkStart w:id="8" w:name="_Toc15377426"/>
      <w:bookmarkStart w:id="9" w:name="_Toc15306268"/>
      <w:bookmarkStart w:id="10" w:name="_Toc15396598"/>
      <w:bookmarkStart w:id="11" w:name="_Toc15377194"/>
      <w:bookmarkStart w:id="12" w:name="_Toc15396476"/>
      <w:bookmarkStart w:id="13" w:name="_Toc15378442"/>
      <w:r>
        <w:rPr>
          <w:rFonts w:hint="eastAsia" w:ascii="方正小标宋简体" w:hAnsi="宋体" w:eastAsia="方正小标宋简体"/>
          <w:sz w:val="72"/>
          <w:szCs w:val="72"/>
        </w:rPr>
        <w:t>司法局部门决算</w:t>
      </w:r>
      <w:bookmarkEnd w:id="80"/>
      <w:bookmarkEnd w:id="7"/>
      <w:bookmarkEnd w:id="8"/>
      <w:bookmarkEnd w:id="9"/>
      <w:bookmarkEnd w:id="10"/>
      <w:bookmarkEnd w:id="11"/>
      <w:bookmarkEnd w:id="12"/>
      <w:bookmarkEnd w:id="13"/>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10"/>
        <w:tabs>
          <w:tab w:val="right" w:leader="dot" w:pos="8306"/>
          <w:tab w:val="clear" w:pos="8296"/>
        </w:tabs>
      </w:pPr>
      <w:r>
        <w:rPr>
          <w:rFonts w:ascii="黑体" w:hAnsi="黑体" w:eastAsia="黑体"/>
          <w:sz w:val="48"/>
          <w:szCs w:val="48"/>
        </w:rPr>
        <w:fldChar w:fldCharType="begin"/>
      </w:r>
      <w:r>
        <w:rPr>
          <w:rFonts w:ascii="黑体" w:hAnsi="黑体" w:eastAsia="黑体"/>
          <w:sz w:val="48"/>
          <w:szCs w:val="48"/>
        </w:rPr>
        <w:instrText xml:space="preserve"> TOC \o "1-2" \h \z \u </w:instrText>
      </w:r>
      <w:r>
        <w:rPr>
          <w:rFonts w:ascii="黑体" w:hAnsi="黑体" w:eastAsia="黑体"/>
          <w:sz w:val="48"/>
          <w:szCs w:val="48"/>
        </w:rPr>
        <w:fldChar w:fldCharType="separate"/>
      </w:r>
    </w:p>
    <w:p>
      <w:pPr>
        <w:pStyle w:val="10"/>
        <w:tabs>
          <w:tab w:val="right" w:leader="dot" w:pos="8306"/>
          <w:tab w:val="clear" w:pos="8296"/>
        </w:tabs>
        <w:spacing w:line="300" w:lineRule="exact"/>
        <w:rPr>
          <w:rFonts w:cs="仿宋"/>
          <w:b/>
          <w:bCs/>
          <w:sz w:val="30"/>
          <w:szCs w:val="30"/>
        </w:rPr>
      </w:pPr>
      <w:r>
        <w:fldChar w:fldCharType="begin"/>
      </w:r>
      <w:r>
        <w:instrText xml:space="preserve"> HYPERLINK \l "_Toc12401" </w:instrText>
      </w:r>
      <w:r>
        <w:fldChar w:fldCharType="separate"/>
      </w:r>
      <w:r>
        <w:rPr>
          <w:rFonts w:hint="eastAsia" w:cs="仿宋"/>
          <w:b/>
          <w:bCs/>
          <w:sz w:val="30"/>
          <w:szCs w:val="30"/>
        </w:rPr>
        <w:t>第一部分</w:t>
      </w:r>
      <w:r>
        <w:rPr>
          <w:rFonts w:cs="仿宋"/>
          <w:b/>
          <w:bCs/>
          <w:sz w:val="30"/>
          <w:szCs w:val="30"/>
        </w:rPr>
        <w:t xml:space="preserve"> </w:t>
      </w:r>
      <w:r>
        <w:rPr>
          <w:rFonts w:hint="eastAsia" w:cs="仿宋"/>
          <w:b/>
          <w:bCs/>
          <w:sz w:val="30"/>
          <w:szCs w:val="30"/>
        </w:rPr>
        <w:t>部门概况</w:t>
      </w:r>
      <w:r>
        <w:rPr>
          <w:rFonts w:cs="仿宋"/>
          <w:b/>
          <w:bCs/>
          <w:sz w:val="30"/>
          <w:szCs w:val="30"/>
        </w:rPr>
        <w:tab/>
      </w:r>
      <w:r>
        <w:rPr>
          <w:rFonts w:cs="仿宋"/>
          <w:b/>
          <w:bCs/>
          <w:sz w:val="30"/>
          <w:szCs w:val="30"/>
        </w:rPr>
        <w:t>3</w:t>
      </w:r>
      <w:r>
        <w:rPr>
          <w:rFonts w:cs="仿宋"/>
          <w:b/>
          <w:bCs/>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"_Toc14678" </w:instrText>
      </w:r>
      <w:r>
        <w:fldChar w:fldCharType="separate"/>
      </w:r>
      <w:r>
        <w:rPr>
          <w:rFonts w:hint="eastAsia" w:ascii="仿宋" w:hAnsi="仿宋" w:eastAsia="仿宋" w:cs="仿宋"/>
          <w:sz w:val="30"/>
          <w:szCs w:val="30"/>
        </w:rPr>
        <w:t>一、基本职能及主要工作</w:t>
      </w:r>
      <w:r>
        <w:rPr>
          <w:rFonts w:ascii="仿宋" w:hAnsi="仿宋" w:eastAsia="仿宋" w:cs="仿宋"/>
          <w:sz w:val="30"/>
          <w:szCs w:val="30"/>
        </w:rPr>
        <w:tab/>
      </w:r>
      <w:r>
        <w:rPr>
          <w:rFonts w:ascii="仿宋" w:hAnsi="仿宋" w:eastAsia="仿宋" w:cs="仿宋"/>
          <w:sz w:val="30"/>
          <w:szCs w:val="30"/>
        </w:rPr>
        <w:t>3</w:t>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"_Toc8986" </w:instrText>
      </w:r>
      <w:r>
        <w:fldChar w:fldCharType="separate"/>
      </w:r>
      <w:r>
        <w:rPr>
          <w:rFonts w:hint="eastAsia" w:ascii="仿宋" w:hAnsi="仿宋" w:eastAsia="仿宋" w:cs="仿宋"/>
          <w:sz w:val="30"/>
          <w:szCs w:val="30"/>
        </w:rPr>
        <w:t>二、机构设置</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_Toc8986 </w:instrText>
      </w:r>
      <w:r>
        <w:rPr>
          <w:rFonts w:ascii="仿宋" w:hAnsi="仿宋" w:eastAsia="仿宋" w:cs="仿宋"/>
          <w:sz w:val="30"/>
          <w:szCs w:val="30"/>
        </w:rPr>
        <w:fldChar w:fldCharType="separate"/>
      </w:r>
      <w:r>
        <w:rPr>
          <w:rFonts w:ascii="仿宋" w:hAnsi="仿宋" w:eastAsia="仿宋" w:cs="仿宋"/>
          <w:sz w:val="30"/>
          <w:szCs w:val="30"/>
        </w:rPr>
        <w:t>4</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0"/>
        <w:tabs>
          <w:tab w:val="right" w:leader="dot" w:pos="8306"/>
          <w:tab w:val="clear" w:pos="8296"/>
        </w:tabs>
        <w:spacing w:line="300" w:lineRule="exact"/>
        <w:rPr>
          <w:rFonts w:cs="仿宋"/>
          <w:b/>
          <w:bCs/>
          <w:sz w:val="30"/>
          <w:szCs w:val="30"/>
        </w:rPr>
      </w:pPr>
      <w:r>
        <w:fldChar w:fldCharType="begin"/>
      </w:r>
      <w:r>
        <w:instrText xml:space="preserve"> HYPERLINK \l "_Toc17001" </w:instrText>
      </w:r>
      <w:r>
        <w:fldChar w:fldCharType="separate"/>
      </w:r>
      <w:r>
        <w:rPr>
          <w:rFonts w:hint="eastAsia" w:cs="仿宋"/>
          <w:b/>
          <w:bCs/>
          <w:sz w:val="30"/>
          <w:szCs w:val="30"/>
        </w:rPr>
        <w:t>第二部分</w:t>
      </w:r>
      <w:r>
        <w:rPr>
          <w:rFonts w:cs="仿宋"/>
          <w:b/>
          <w:bCs/>
          <w:sz w:val="30"/>
          <w:szCs w:val="30"/>
        </w:rPr>
        <w:t xml:space="preserve"> 2018</w:t>
      </w:r>
      <w:r>
        <w:rPr>
          <w:rFonts w:hint="eastAsia" w:cs="仿宋"/>
          <w:b/>
          <w:bCs/>
          <w:sz w:val="30"/>
          <w:szCs w:val="30"/>
        </w:rPr>
        <w:t>年度部门决算情况说明</w:t>
      </w:r>
      <w:r>
        <w:rPr>
          <w:rFonts w:cs="仿宋"/>
          <w:b/>
          <w:bCs/>
          <w:sz w:val="30"/>
          <w:szCs w:val="30"/>
        </w:rPr>
        <w:tab/>
      </w:r>
      <w:r>
        <w:rPr>
          <w:rFonts w:cs="仿宋"/>
          <w:b/>
          <w:bCs/>
          <w:sz w:val="30"/>
          <w:szCs w:val="30"/>
        </w:rPr>
        <w:fldChar w:fldCharType="begin"/>
      </w:r>
      <w:r>
        <w:rPr>
          <w:rFonts w:cs="仿宋"/>
          <w:b/>
          <w:bCs/>
          <w:sz w:val="30"/>
          <w:szCs w:val="30"/>
        </w:rPr>
        <w:instrText xml:space="preserve"> PAGEREF _Toc17001 </w:instrText>
      </w:r>
      <w:r>
        <w:rPr>
          <w:rFonts w:cs="仿宋"/>
          <w:b/>
          <w:bCs/>
          <w:sz w:val="30"/>
          <w:szCs w:val="30"/>
        </w:rPr>
        <w:fldChar w:fldCharType="separate"/>
      </w:r>
      <w:r>
        <w:rPr>
          <w:rFonts w:cs="仿宋"/>
          <w:b/>
          <w:bCs/>
          <w:sz w:val="30"/>
          <w:szCs w:val="30"/>
        </w:rPr>
        <w:t>5</w:t>
      </w:r>
      <w:r>
        <w:rPr>
          <w:rFonts w:cs="仿宋"/>
          <w:b/>
          <w:bCs/>
          <w:sz w:val="30"/>
          <w:szCs w:val="30"/>
        </w:rPr>
        <w:fldChar w:fldCharType="end"/>
      </w:r>
      <w:r>
        <w:rPr>
          <w:rFonts w:cs="仿宋"/>
          <w:b/>
          <w:bCs/>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"_Toc20699" </w:instrText>
      </w:r>
      <w:r>
        <w:fldChar w:fldCharType="separate"/>
      </w:r>
      <w:r>
        <w:rPr>
          <w:rFonts w:hint="eastAsia" w:ascii="仿宋" w:hAnsi="仿宋" w:eastAsia="仿宋" w:cs="仿宋"/>
          <w:sz w:val="30"/>
          <w:szCs w:val="30"/>
        </w:rPr>
        <w:t>一、</w:t>
      </w:r>
      <w:r>
        <w:rPr>
          <w:rFonts w:ascii="仿宋" w:hAnsi="仿宋" w:eastAsia="仿宋" w:cs="仿宋"/>
          <w:sz w:val="30"/>
          <w:szCs w:val="30"/>
        </w:rPr>
        <w:t xml:space="preserve"> </w:t>
      </w:r>
      <w:r>
        <w:rPr>
          <w:rFonts w:hint="eastAsia" w:ascii="仿宋" w:hAnsi="仿宋" w:eastAsia="仿宋" w:cs="仿宋"/>
          <w:sz w:val="30"/>
          <w:szCs w:val="30"/>
        </w:rPr>
        <w:t>收入支出决算总体情况说明</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_Toc20699 </w:instrText>
      </w:r>
      <w:r>
        <w:rPr>
          <w:rFonts w:ascii="仿宋" w:hAnsi="仿宋" w:eastAsia="仿宋" w:cs="仿宋"/>
          <w:sz w:val="30"/>
          <w:szCs w:val="30"/>
        </w:rPr>
        <w:fldChar w:fldCharType="separate"/>
      </w:r>
      <w:r>
        <w:rPr>
          <w:rFonts w:ascii="仿宋" w:hAnsi="仿宋" w:eastAsia="仿宋" w:cs="仿宋"/>
          <w:sz w:val="30"/>
          <w:szCs w:val="30"/>
        </w:rPr>
        <w:t>5</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"_Toc6613" </w:instrText>
      </w:r>
      <w:r>
        <w:fldChar w:fldCharType="separate"/>
      </w:r>
      <w:r>
        <w:rPr>
          <w:rFonts w:hint="eastAsia" w:ascii="仿宋" w:hAnsi="仿宋" w:eastAsia="仿宋" w:cs="仿宋"/>
          <w:sz w:val="30"/>
          <w:szCs w:val="30"/>
        </w:rPr>
        <w:t>二、</w:t>
      </w:r>
      <w:r>
        <w:rPr>
          <w:rFonts w:ascii="仿宋" w:hAnsi="仿宋" w:eastAsia="仿宋" w:cs="仿宋"/>
          <w:sz w:val="30"/>
          <w:szCs w:val="30"/>
        </w:rPr>
        <w:t xml:space="preserve"> </w:t>
      </w:r>
      <w:r>
        <w:rPr>
          <w:rFonts w:hint="eastAsia" w:ascii="仿宋" w:hAnsi="仿宋" w:eastAsia="仿宋" w:cs="仿宋"/>
          <w:sz w:val="30"/>
          <w:szCs w:val="30"/>
        </w:rPr>
        <w:t>收入决算情况说明</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_Toc6613 </w:instrText>
      </w:r>
      <w:r>
        <w:rPr>
          <w:rFonts w:ascii="仿宋" w:hAnsi="仿宋" w:eastAsia="仿宋" w:cs="仿宋"/>
          <w:sz w:val="30"/>
          <w:szCs w:val="30"/>
        </w:rPr>
        <w:fldChar w:fldCharType="separate"/>
      </w:r>
      <w:r>
        <w:rPr>
          <w:rFonts w:ascii="仿宋" w:hAnsi="仿宋" w:eastAsia="仿宋" w:cs="仿宋"/>
          <w:sz w:val="30"/>
          <w:szCs w:val="30"/>
        </w:rPr>
        <w:t>5</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"_Toc30118" </w:instrText>
      </w:r>
      <w:r>
        <w:fldChar w:fldCharType="separate"/>
      </w:r>
      <w:r>
        <w:rPr>
          <w:rFonts w:hint="eastAsia" w:ascii="仿宋" w:hAnsi="仿宋" w:eastAsia="仿宋" w:cs="仿宋"/>
          <w:sz w:val="30"/>
          <w:szCs w:val="30"/>
        </w:rPr>
        <w:t>三、</w:t>
      </w:r>
      <w:r>
        <w:rPr>
          <w:rFonts w:ascii="仿宋" w:hAnsi="仿宋" w:eastAsia="仿宋" w:cs="仿宋"/>
          <w:sz w:val="30"/>
          <w:szCs w:val="30"/>
        </w:rPr>
        <w:t xml:space="preserve"> </w:t>
      </w:r>
      <w:r>
        <w:rPr>
          <w:rFonts w:hint="eastAsia" w:ascii="仿宋" w:hAnsi="仿宋" w:eastAsia="仿宋" w:cs="仿宋"/>
          <w:sz w:val="30"/>
          <w:szCs w:val="30"/>
        </w:rPr>
        <w:t>支出决算情况说明</w:t>
      </w:r>
      <w:r>
        <w:rPr>
          <w:rFonts w:ascii="仿宋" w:hAnsi="仿宋" w:eastAsia="仿宋" w:cs="仿宋"/>
          <w:sz w:val="30"/>
          <w:szCs w:val="30"/>
        </w:rPr>
        <w:tab/>
      </w:r>
      <w:r>
        <w:rPr>
          <w:rFonts w:ascii="仿宋" w:hAnsi="仿宋" w:eastAsia="仿宋" w:cs="仿宋"/>
          <w:sz w:val="30"/>
          <w:szCs w:val="30"/>
        </w:rPr>
        <w:t>6</w:t>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"_Toc17133" </w:instrText>
      </w:r>
      <w:r>
        <w:fldChar w:fldCharType="separate"/>
      </w:r>
      <w:r>
        <w:rPr>
          <w:rFonts w:hint="eastAsia" w:ascii="仿宋" w:hAnsi="仿宋" w:eastAsia="仿宋" w:cs="仿宋"/>
          <w:sz w:val="30"/>
          <w:szCs w:val="30"/>
        </w:rPr>
        <w:t>四、财政拨款收入支出决算总体情况说明</w:t>
      </w:r>
      <w:r>
        <w:rPr>
          <w:rFonts w:ascii="仿宋" w:hAnsi="仿宋" w:eastAsia="仿宋" w:cs="仿宋"/>
          <w:sz w:val="30"/>
          <w:szCs w:val="30"/>
        </w:rPr>
        <w:tab/>
      </w:r>
      <w:r>
        <w:rPr>
          <w:rFonts w:ascii="仿宋" w:hAnsi="仿宋" w:eastAsia="仿宋" w:cs="仿宋"/>
          <w:sz w:val="30"/>
          <w:szCs w:val="30"/>
        </w:rPr>
        <w:t>7</w:t>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"_Toc27159" </w:instrText>
      </w:r>
      <w:r>
        <w:fldChar w:fldCharType="separate"/>
      </w:r>
      <w:r>
        <w:rPr>
          <w:rFonts w:hint="eastAsia" w:ascii="仿宋" w:hAnsi="仿宋" w:eastAsia="仿宋" w:cs="仿宋"/>
          <w:sz w:val="30"/>
          <w:szCs w:val="30"/>
        </w:rPr>
        <w:t>五、一般公共预算财政拨款支出决算情况说明</w:t>
      </w:r>
      <w:r>
        <w:rPr>
          <w:rFonts w:ascii="仿宋" w:hAnsi="仿宋" w:eastAsia="仿宋" w:cs="仿宋"/>
          <w:sz w:val="30"/>
          <w:szCs w:val="30"/>
        </w:rPr>
        <w:tab/>
      </w:r>
      <w:r>
        <w:rPr>
          <w:rFonts w:ascii="仿宋" w:hAnsi="仿宋" w:eastAsia="仿宋" w:cs="仿宋"/>
          <w:sz w:val="30"/>
          <w:szCs w:val="30"/>
        </w:rPr>
        <w:t>7</w:t>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"_Toc29705" </w:instrText>
      </w:r>
      <w:r>
        <w:fldChar w:fldCharType="separate"/>
      </w:r>
      <w:r>
        <w:rPr>
          <w:rFonts w:hint="eastAsia" w:ascii="仿宋" w:hAnsi="仿宋" w:eastAsia="仿宋" w:cs="仿宋"/>
          <w:sz w:val="30"/>
          <w:szCs w:val="30"/>
        </w:rPr>
        <w:t>六、一般公共预算财政拨款基本支出决算情况说明</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_Toc29705 </w:instrText>
      </w:r>
      <w:r>
        <w:rPr>
          <w:rFonts w:ascii="仿宋" w:hAnsi="仿宋" w:eastAsia="仿宋" w:cs="仿宋"/>
          <w:sz w:val="30"/>
          <w:szCs w:val="30"/>
        </w:rPr>
        <w:fldChar w:fldCharType="separate"/>
      </w:r>
      <w:r>
        <w:rPr>
          <w:rFonts w:ascii="仿宋" w:hAnsi="仿宋" w:eastAsia="仿宋" w:cs="仿宋"/>
          <w:sz w:val="30"/>
          <w:szCs w:val="30"/>
        </w:rPr>
        <w:t>8</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"_Toc4756" </w:instrText>
      </w:r>
      <w:r>
        <w:fldChar w:fldCharType="separate"/>
      </w:r>
      <w:r>
        <w:rPr>
          <w:rFonts w:hint="eastAsia" w:ascii="仿宋" w:hAnsi="仿宋" w:eastAsia="仿宋" w:cs="仿宋"/>
          <w:sz w:val="30"/>
          <w:szCs w:val="30"/>
        </w:rPr>
        <w:t>七、“三公”经费财政拨款支出决算情况说明</w:t>
      </w:r>
      <w:r>
        <w:rPr>
          <w:rFonts w:ascii="仿宋" w:hAnsi="仿宋" w:eastAsia="仿宋" w:cs="仿宋"/>
          <w:sz w:val="30"/>
          <w:szCs w:val="30"/>
        </w:rPr>
        <w:tab/>
      </w:r>
      <w:r>
        <w:rPr>
          <w:rFonts w:ascii="仿宋" w:hAnsi="仿宋" w:eastAsia="仿宋" w:cs="仿宋"/>
          <w:sz w:val="30"/>
          <w:szCs w:val="30"/>
        </w:rPr>
        <w:t>1</w:t>
      </w:r>
      <w:r>
        <w:rPr>
          <w:rFonts w:ascii="仿宋" w:hAnsi="仿宋" w:eastAsia="仿宋" w:cs="仿宋"/>
          <w:sz w:val="30"/>
          <w:szCs w:val="30"/>
        </w:rPr>
        <w:fldChar w:fldCharType="end"/>
      </w:r>
      <w:r>
        <w:rPr>
          <w:rFonts w:ascii="仿宋" w:hAnsi="仿宋" w:eastAsia="仿宋" w:cs="仿宋"/>
          <w:sz w:val="30"/>
          <w:szCs w:val="30"/>
        </w:rPr>
        <w:t>1</w:t>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"_Toc4539" </w:instrText>
      </w:r>
      <w:r>
        <w:fldChar w:fldCharType="separate"/>
      </w:r>
      <w:r>
        <w:rPr>
          <w:rFonts w:hint="eastAsia" w:ascii="仿宋" w:hAnsi="仿宋" w:eastAsia="仿宋" w:cs="仿宋"/>
          <w:sz w:val="30"/>
          <w:szCs w:val="30"/>
        </w:rPr>
        <w:t>八、政府性基金预算支出决算情况说明</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_Toc4539 </w:instrText>
      </w:r>
      <w:r>
        <w:rPr>
          <w:rFonts w:ascii="仿宋" w:hAnsi="仿宋" w:eastAsia="仿宋" w:cs="仿宋"/>
          <w:sz w:val="30"/>
          <w:szCs w:val="30"/>
        </w:rPr>
        <w:fldChar w:fldCharType="separate"/>
      </w:r>
      <w:r>
        <w:rPr>
          <w:rFonts w:ascii="仿宋" w:hAnsi="仿宋" w:eastAsia="仿宋" w:cs="仿宋"/>
          <w:sz w:val="30"/>
          <w:szCs w:val="30"/>
        </w:rPr>
        <w:t>13</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"_Toc5156" </w:instrText>
      </w:r>
      <w:r>
        <w:fldChar w:fldCharType="separate"/>
      </w:r>
      <w:r>
        <w:rPr>
          <w:rFonts w:hint="eastAsia" w:ascii="仿宋" w:hAnsi="仿宋" w:eastAsia="仿宋" w:cs="仿宋"/>
          <w:sz w:val="30"/>
          <w:szCs w:val="30"/>
        </w:rPr>
        <w:t>九、</w:t>
      </w:r>
      <w:r>
        <w:rPr>
          <w:rFonts w:ascii="仿宋" w:hAnsi="仿宋" w:eastAsia="仿宋" w:cs="仿宋"/>
          <w:sz w:val="30"/>
          <w:szCs w:val="30"/>
        </w:rPr>
        <w:t xml:space="preserve"> </w:t>
      </w:r>
      <w:r>
        <w:rPr>
          <w:rFonts w:hint="eastAsia" w:ascii="仿宋" w:hAnsi="仿宋" w:eastAsia="仿宋" w:cs="仿宋"/>
          <w:sz w:val="30"/>
          <w:szCs w:val="30"/>
        </w:rPr>
        <w:t>国有资本经营预算支出决算情况说明</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_Toc5156 </w:instrText>
      </w:r>
      <w:r>
        <w:rPr>
          <w:rFonts w:ascii="仿宋" w:hAnsi="仿宋" w:eastAsia="仿宋" w:cs="仿宋"/>
          <w:sz w:val="30"/>
          <w:szCs w:val="30"/>
        </w:rPr>
        <w:fldChar w:fldCharType="separate"/>
      </w:r>
      <w:r>
        <w:rPr>
          <w:rFonts w:ascii="仿宋" w:hAnsi="仿宋" w:eastAsia="仿宋" w:cs="仿宋"/>
          <w:sz w:val="30"/>
          <w:szCs w:val="30"/>
        </w:rPr>
        <w:t>13</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"_Toc7362" </w:instrText>
      </w:r>
      <w:r>
        <w:fldChar w:fldCharType="separate"/>
      </w:r>
      <w:r>
        <w:rPr>
          <w:rFonts w:hint="eastAsia" w:ascii="仿宋" w:hAnsi="仿宋" w:eastAsia="仿宋" w:cs="仿宋"/>
          <w:sz w:val="30"/>
          <w:szCs w:val="30"/>
        </w:rPr>
        <w:t>十、</w:t>
      </w:r>
      <w:r>
        <w:rPr>
          <w:rFonts w:ascii="仿宋" w:hAnsi="仿宋" w:eastAsia="仿宋" w:cs="仿宋"/>
          <w:sz w:val="30"/>
          <w:szCs w:val="30"/>
        </w:rPr>
        <w:t xml:space="preserve"> </w:t>
      </w:r>
      <w:r>
        <w:rPr>
          <w:rFonts w:hint="eastAsia" w:ascii="仿宋" w:hAnsi="仿宋" w:eastAsia="仿宋" w:cs="仿宋"/>
          <w:sz w:val="30"/>
          <w:szCs w:val="30"/>
        </w:rPr>
        <w:t>预算绩效情况说明</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_Toc7362 </w:instrText>
      </w:r>
      <w:r>
        <w:rPr>
          <w:rFonts w:ascii="仿宋" w:hAnsi="仿宋" w:eastAsia="仿宋" w:cs="仿宋"/>
          <w:sz w:val="30"/>
          <w:szCs w:val="30"/>
        </w:rPr>
        <w:fldChar w:fldCharType="separate"/>
      </w:r>
      <w:r>
        <w:rPr>
          <w:rFonts w:ascii="仿宋" w:hAnsi="仿宋" w:eastAsia="仿宋" w:cs="仿宋"/>
          <w:sz w:val="30"/>
          <w:szCs w:val="30"/>
        </w:rPr>
        <w:t>13</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"_Toc25870" </w:instrText>
      </w:r>
      <w:r>
        <w:fldChar w:fldCharType="separate"/>
      </w:r>
      <w:r>
        <w:rPr>
          <w:rFonts w:hint="eastAsia" w:ascii="仿宋" w:hAnsi="仿宋" w:eastAsia="仿宋" w:cs="仿宋"/>
          <w:sz w:val="30"/>
          <w:szCs w:val="30"/>
        </w:rPr>
        <w:t>十一、其他重要事项的情况说明</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_Toc25870 </w:instrText>
      </w:r>
      <w:r>
        <w:rPr>
          <w:rFonts w:ascii="仿宋" w:hAnsi="仿宋" w:eastAsia="仿宋" w:cs="仿宋"/>
          <w:sz w:val="30"/>
          <w:szCs w:val="30"/>
        </w:rPr>
        <w:fldChar w:fldCharType="separate"/>
      </w:r>
      <w:r>
        <w:rPr>
          <w:rFonts w:ascii="仿宋" w:hAnsi="仿宋" w:eastAsia="仿宋" w:cs="仿宋"/>
          <w:sz w:val="30"/>
          <w:szCs w:val="30"/>
        </w:rPr>
        <w:t>16</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0"/>
        <w:tabs>
          <w:tab w:val="right" w:leader="dot" w:pos="8306"/>
          <w:tab w:val="clear" w:pos="8296"/>
        </w:tabs>
        <w:spacing w:line="300" w:lineRule="exact"/>
        <w:rPr>
          <w:rFonts w:cs="仿宋"/>
          <w:sz w:val="30"/>
          <w:szCs w:val="30"/>
        </w:rPr>
      </w:pPr>
      <w:r>
        <w:fldChar w:fldCharType="begin"/>
      </w:r>
      <w:r>
        <w:instrText xml:space="preserve"> HYPERLINK \l "_Toc28839" </w:instrText>
      </w:r>
      <w:r>
        <w:fldChar w:fldCharType="separate"/>
      </w:r>
      <w:r>
        <w:rPr>
          <w:rFonts w:hint="eastAsia" w:cs="仿宋"/>
          <w:b/>
          <w:bCs/>
          <w:sz w:val="30"/>
          <w:szCs w:val="30"/>
        </w:rPr>
        <w:t>第三部分</w:t>
      </w:r>
      <w:r>
        <w:rPr>
          <w:rFonts w:cs="仿宋"/>
          <w:b/>
          <w:bCs/>
          <w:sz w:val="30"/>
          <w:szCs w:val="30"/>
        </w:rPr>
        <w:t xml:space="preserve"> </w:t>
      </w:r>
      <w:r>
        <w:rPr>
          <w:rFonts w:hint="eastAsia" w:cs="仿宋"/>
          <w:b/>
          <w:bCs/>
          <w:sz w:val="30"/>
          <w:szCs w:val="30"/>
        </w:rPr>
        <w:t>名词解释</w:t>
      </w:r>
      <w:r>
        <w:rPr>
          <w:rFonts w:cs="仿宋"/>
          <w:b/>
          <w:bCs/>
          <w:sz w:val="30"/>
          <w:szCs w:val="30"/>
        </w:rPr>
        <w:tab/>
      </w:r>
      <w:r>
        <w:rPr>
          <w:rFonts w:cs="仿宋"/>
          <w:b/>
          <w:bCs/>
          <w:sz w:val="30"/>
          <w:szCs w:val="30"/>
        </w:rPr>
        <w:fldChar w:fldCharType="begin"/>
      </w:r>
      <w:r>
        <w:rPr>
          <w:rFonts w:cs="仿宋"/>
          <w:b/>
          <w:bCs/>
          <w:sz w:val="30"/>
          <w:szCs w:val="30"/>
        </w:rPr>
        <w:instrText xml:space="preserve"> PAGEREF _Toc28839 </w:instrText>
      </w:r>
      <w:r>
        <w:rPr>
          <w:rFonts w:cs="仿宋"/>
          <w:b/>
          <w:bCs/>
          <w:sz w:val="30"/>
          <w:szCs w:val="30"/>
        </w:rPr>
        <w:fldChar w:fldCharType="separate"/>
      </w:r>
      <w:r>
        <w:rPr>
          <w:rFonts w:cs="仿宋"/>
          <w:b/>
          <w:bCs/>
          <w:sz w:val="30"/>
          <w:szCs w:val="30"/>
        </w:rPr>
        <w:t>17</w:t>
      </w:r>
      <w:r>
        <w:rPr>
          <w:rFonts w:cs="仿宋"/>
          <w:b/>
          <w:bCs/>
          <w:sz w:val="30"/>
          <w:szCs w:val="30"/>
        </w:rPr>
        <w:fldChar w:fldCharType="end"/>
      </w:r>
      <w:r>
        <w:rPr>
          <w:rFonts w:cs="仿宋"/>
          <w:b/>
          <w:bCs/>
          <w:sz w:val="30"/>
          <w:szCs w:val="30"/>
        </w:rPr>
        <w:fldChar w:fldCharType="end"/>
      </w:r>
    </w:p>
    <w:p>
      <w:pPr>
        <w:pStyle w:val="10"/>
        <w:tabs>
          <w:tab w:val="right" w:leader="dot" w:pos="8306"/>
          <w:tab w:val="clear" w:pos="8296"/>
        </w:tabs>
        <w:spacing w:line="300" w:lineRule="exact"/>
        <w:rPr>
          <w:rFonts w:cs="仿宋"/>
          <w:b/>
          <w:bCs/>
          <w:sz w:val="30"/>
          <w:szCs w:val="30"/>
        </w:rPr>
      </w:pPr>
      <w:r>
        <w:fldChar w:fldCharType="begin"/>
      </w:r>
      <w:r>
        <w:instrText xml:space="preserve"> HYPERLINK \l "_Toc16272" </w:instrText>
      </w:r>
      <w:r>
        <w:fldChar w:fldCharType="separate"/>
      </w:r>
      <w:r>
        <w:rPr>
          <w:rFonts w:hint="eastAsia" w:cs="仿宋"/>
          <w:b/>
          <w:bCs/>
          <w:sz w:val="30"/>
          <w:szCs w:val="30"/>
        </w:rPr>
        <w:t>第四部分</w:t>
      </w:r>
      <w:r>
        <w:rPr>
          <w:rFonts w:cs="仿宋"/>
          <w:b/>
          <w:bCs/>
          <w:sz w:val="30"/>
          <w:szCs w:val="30"/>
        </w:rPr>
        <w:t xml:space="preserve"> </w:t>
      </w:r>
      <w:r>
        <w:rPr>
          <w:rFonts w:hint="eastAsia" w:cs="仿宋"/>
          <w:b/>
          <w:bCs/>
          <w:sz w:val="30"/>
          <w:szCs w:val="30"/>
        </w:rPr>
        <w:t>附件</w:t>
      </w:r>
      <w:r>
        <w:rPr>
          <w:rFonts w:cs="仿宋"/>
          <w:b/>
          <w:bCs/>
          <w:sz w:val="30"/>
          <w:szCs w:val="30"/>
        </w:rPr>
        <w:tab/>
      </w:r>
      <w:r>
        <w:rPr>
          <w:rFonts w:cs="仿宋"/>
          <w:b/>
          <w:bCs/>
          <w:sz w:val="30"/>
          <w:szCs w:val="30"/>
        </w:rPr>
        <w:t>2</w:t>
      </w:r>
      <w:r>
        <w:rPr>
          <w:rFonts w:cs="仿宋"/>
          <w:b/>
          <w:bCs/>
          <w:sz w:val="30"/>
          <w:szCs w:val="30"/>
        </w:rPr>
        <w:fldChar w:fldCharType="end"/>
      </w:r>
      <w:r>
        <w:rPr>
          <w:rFonts w:cs="仿宋"/>
          <w:b/>
          <w:bCs/>
          <w:sz w:val="30"/>
          <w:szCs w:val="30"/>
        </w:rPr>
        <w:t>0</w:t>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"_Toc24613" </w:instrText>
      </w:r>
      <w:r>
        <w:fldChar w:fldCharType="separate"/>
      </w:r>
      <w:r>
        <w:rPr>
          <w:rFonts w:hint="eastAsia" w:ascii="仿宋" w:hAnsi="仿宋" w:eastAsia="仿宋" w:cs="仿宋"/>
          <w:sz w:val="30"/>
          <w:szCs w:val="30"/>
        </w:rPr>
        <w:t>附件</w:t>
      </w:r>
      <w:r>
        <w:rPr>
          <w:rFonts w:ascii="仿宋" w:hAnsi="仿宋" w:eastAsia="仿宋" w:cs="仿宋"/>
          <w:sz w:val="30"/>
          <w:szCs w:val="30"/>
        </w:rPr>
        <w:t>1</w:t>
      </w:r>
      <w:r>
        <w:rPr>
          <w:rFonts w:ascii="仿宋" w:hAnsi="仿宋" w:eastAsia="仿宋" w:cs="仿宋"/>
          <w:sz w:val="30"/>
          <w:szCs w:val="30"/>
        </w:rPr>
        <w:tab/>
      </w:r>
      <w:r>
        <w:rPr>
          <w:rFonts w:ascii="仿宋" w:hAnsi="仿宋" w:eastAsia="仿宋" w:cs="仿宋"/>
          <w:sz w:val="30"/>
          <w:szCs w:val="30"/>
        </w:rPr>
        <w:t>2</w:t>
      </w:r>
      <w:r>
        <w:rPr>
          <w:rFonts w:ascii="仿宋" w:hAnsi="仿宋" w:eastAsia="仿宋" w:cs="仿宋"/>
          <w:sz w:val="30"/>
          <w:szCs w:val="30"/>
        </w:rPr>
        <w:fldChar w:fldCharType="end"/>
      </w:r>
      <w:r>
        <w:rPr>
          <w:rFonts w:ascii="仿宋" w:hAnsi="仿宋" w:eastAsia="仿宋" w:cs="仿宋"/>
          <w:sz w:val="30"/>
          <w:szCs w:val="30"/>
        </w:rPr>
        <w:t>0</w:t>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"_Toc26047" </w:instrText>
      </w:r>
      <w:r>
        <w:fldChar w:fldCharType="separate"/>
      </w:r>
      <w:r>
        <w:rPr>
          <w:rFonts w:hint="eastAsia" w:ascii="仿宋" w:hAnsi="仿宋" w:eastAsia="仿宋" w:cs="仿宋"/>
          <w:sz w:val="30"/>
          <w:szCs w:val="30"/>
        </w:rPr>
        <w:t>附件</w:t>
      </w:r>
      <w:r>
        <w:rPr>
          <w:rFonts w:ascii="仿宋" w:hAnsi="仿宋" w:eastAsia="仿宋" w:cs="仿宋"/>
          <w:sz w:val="30"/>
          <w:szCs w:val="30"/>
        </w:rPr>
        <w:t>2</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_Toc26047 </w:instrText>
      </w:r>
      <w:r>
        <w:rPr>
          <w:rFonts w:ascii="仿宋" w:hAnsi="仿宋" w:eastAsia="仿宋" w:cs="仿宋"/>
          <w:sz w:val="30"/>
          <w:szCs w:val="30"/>
        </w:rPr>
        <w:fldChar w:fldCharType="separate"/>
      </w:r>
      <w:r>
        <w:rPr>
          <w:rFonts w:ascii="仿宋" w:hAnsi="仿宋" w:eastAsia="仿宋" w:cs="仿宋"/>
          <w:sz w:val="30"/>
          <w:szCs w:val="30"/>
        </w:rPr>
        <w:t>23</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0"/>
        <w:tabs>
          <w:tab w:val="right" w:leader="dot" w:pos="8306"/>
          <w:tab w:val="clear" w:pos="8296"/>
        </w:tabs>
        <w:spacing w:line="300" w:lineRule="exact"/>
        <w:rPr>
          <w:rFonts w:cs="仿宋"/>
          <w:b/>
          <w:bCs/>
          <w:sz w:val="30"/>
          <w:szCs w:val="30"/>
        </w:rPr>
      </w:pPr>
      <w:r>
        <w:fldChar w:fldCharType="begin"/>
      </w:r>
      <w:r>
        <w:instrText xml:space="preserve"> HYPERLINK \l "_Toc30025" </w:instrText>
      </w:r>
      <w:r>
        <w:fldChar w:fldCharType="separate"/>
      </w:r>
      <w:r>
        <w:rPr>
          <w:rFonts w:hint="eastAsia" w:cs="仿宋"/>
          <w:b/>
          <w:bCs/>
          <w:sz w:val="30"/>
          <w:szCs w:val="30"/>
        </w:rPr>
        <w:t>第五部分</w:t>
      </w:r>
      <w:r>
        <w:rPr>
          <w:rFonts w:cs="仿宋"/>
          <w:b/>
          <w:bCs/>
          <w:sz w:val="30"/>
          <w:szCs w:val="30"/>
        </w:rPr>
        <w:t xml:space="preserve"> </w:t>
      </w:r>
      <w:r>
        <w:rPr>
          <w:rFonts w:hint="eastAsia" w:cs="仿宋"/>
          <w:b/>
          <w:bCs/>
          <w:sz w:val="30"/>
          <w:szCs w:val="30"/>
        </w:rPr>
        <w:t>附表</w:t>
      </w:r>
      <w:r>
        <w:rPr>
          <w:rFonts w:cs="仿宋"/>
          <w:b/>
          <w:bCs/>
          <w:sz w:val="30"/>
          <w:szCs w:val="30"/>
        </w:rPr>
        <w:tab/>
      </w:r>
      <w:r>
        <w:rPr>
          <w:rFonts w:cs="仿宋"/>
          <w:b/>
          <w:bCs/>
          <w:sz w:val="30"/>
          <w:szCs w:val="30"/>
        </w:rPr>
        <w:fldChar w:fldCharType="begin"/>
      </w:r>
      <w:r>
        <w:rPr>
          <w:rFonts w:cs="仿宋"/>
          <w:b/>
          <w:bCs/>
          <w:sz w:val="30"/>
          <w:szCs w:val="30"/>
        </w:rPr>
        <w:instrText xml:space="preserve"> PAGEREF _Toc30025 </w:instrText>
      </w:r>
      <w:r>
        <w:rPr>
          <w:rFonts w:cs="仿宋"/>
          <w:b/>
          <w:bCs/>
          <w:sz w:val="30"/>
          <w:szCs w:val="30"/>
        </w:rPr>
        <w:fldChar w:fldCharType="separate"/>
      </w:r>
      <w:r>
        <w:rPr>
          <w:rFonts w:cs="仿宋"/>
          <w:b/>
          <w:bCs/>
          <w:sz w:val="30"/>
          <w:szCs w:val="30"/>
        </w:rPr>
        <w:t>24</w:t>
      </w:r>
      <w:r>
        <w:rPr>
          <w:rFonts w:cs="仿宋"/>
          <w:b/>
          <w:bCs/>
          <w:sz w:val="30"/>
          <w:szCs w:val="30"/>
        </w:rPr>
        <w:fldChar w:fldCharType="end"/>
      </w:r>
      <w:r>
        <w:rPr>
          <w:rFonts w:cs="仿宋"/>
          <w:b/>
          <w:bCs/>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"_Toc4668" </w:instrText>
      </w:r>
      <w:r>
        <w:fldChar w:fldCharType="separate"/>
      </w:r>
      <w:r>
        <w:rPr>
          <w:rFonts w:hint="eastAsia" w:ascii="仿宋" w:hAnsi="仿宋" w:eastAsia="仿宋" w:cs="仿宋"/>
          <w:sz w:val="30"/>
          <w:szCs w:val="30"/>
        </w:rPr>
        <w:t>一、收入支出决算总表</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_Toc4668 </w:instrText>
      </w:r>
      <w:r>
        <w:rPr>
          <w:rFonts w:ascii="仿宋" w:hAnsi="仿宋" w:eastAsia="仿宋" w:cs="仿宋"/>
          <w:sz w:val="30"/>
          <w:szCs w:val="30"/>
        </w:rPr>
        <w:fldChar w:fldCharType="separate"/>
      </w:r>
      <w:r>
        <w:rPr>
          <w:rFonts w:ascii="仿宋" w:hAnsi="仿宋" w:eastAsia="仿宋" w:cs="仿宋"/>
          <w:sz w:val="30"/>
          <w:szCs w:val="30"/>
        </w:rPr>
        <w:t>24</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"_Toc10336" </w:instrText>
      </w:r>
      <w:r>
        <w:fldChar w:fldCharType="separate"/>
      </w:r>
      <w:r>
        <w:rPr>
          <w:rFonts w:hint="eastAsia" w:ascii="仿宋" w:hAnsi="仿宋" w:eastAsia="仿宋" w:cs="仿宋"/>
          <w:sz w:val="30"/>
          <w:szCs w:val="30"/>
        </w:rPr>
        <w:t>二、收入总表</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_Toc10336 </w:instrText>
      </w:r>
      <w:r>
        <w:rPr>
          <w:rFonts w:ascii="仿宋" w:hAnsi="仿宋" w:eastAsia="仿宋" w:cs="仿宋"/>
          <w:sz w:val="30"/>
          <w:szCs w:val="30"/>
        </w:rPr>
        <w:fldChar w:fldCharType="separate"/>
      </w:r>
      <w:r>
        <w:rPr>
          <w:rFonts w:ascii="仿宋" w:hAnsi="仿宋" w:eastAsia="仿宋" w:cs="仿宋"/>
          <w:sz w:val="30"/>
          <w:szCs w:val="30"/>
        </w:rPr>
        <w:t>24</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"_Toc28646" </w:instrText>
      </w:r>
      <w:r>
        <w:fldChar w:fldCharType="separate"/>
      </w:r>
      <w:r>
        <w:rPr>
          <w:rFonts w:hint="eastAsia" w:ascii="仿宋" w:hAnsi="仿宋" w:eastAsia="仿宋" w:cs="仿宋"/>
          <w:sz w:val="30"/>
          <w:szCs w:val="30"/>
        </w:rPr>
        <w:t>三、支出总表</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_Toc28646 </w:instrText>
      </w:r>
      <w:r>
        <w:rPr>
          <w:rFonts w:ascii="仿宋" w:hAnsi="仿宋" w:eastAsia="仿宋" w:cs="仿宋"/>
          <w:sz w:val="30"/>
          <w:szCs w:val="30"/>
        </w:rPr>
        <w:fldChar w:fldCharType="separate"/>
      </w:r>
      <w:r>
        <w:rPr>
          <w:rFonts w:ascii="仿宋" w:hAnsi="仿宋" w:eastAsia="仿宋" w:cs="仿宋"/>
          <w:sz w:val="30"/>
          <w:szCs w:val="30"/>
        </w:rPr>
        <w:t>24</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"_Toc18608" </w:instrText>
      </w:r>
      <w:r>
        <w:fldChar w:fldCharType="separate"/>
      </w:r>
      <w:r>
        <w:rPr>
          <w:rFonts w:hint="eastAsia" w:ascii="仿宋" w:hAnsi="仿宋" w:eastAsia="仿宋" w:cs="仿宋"/>
          <w:sz w:val="30"/>
          <w:szCs w:val="30"/>
        </w:rPr>
        <w:t>四、财政拨款收入支出决算总表</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_Toc18608 </w:instrText>
      </w:r>
      <w:r>
        <w:rPr>
          <w:rFonts w:ascii="仿宋" w:hAnsi="仿宋" w:eastAsia="仿宋" w:cs="仿宋"/>
          <w:sz w:val="30"/>
          <w:szCs w:val="30"/>
        </w:rPr>
        <w:fldChar w:fldCharType="separate"/>
      </w:r>
      <w:r>
        <w:rPr>
          <w:rFonts w:ascii="仿宋" w:hAnsi="仿宋" w:eastAsia="仿宋" w:cs="仿宋"/>
          <w:sz w:val="30"/>
          <w:szCs w:val="30"/>
        </w:rPr>
        <w:t>24</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"_Toc2226" </w:instrText>
      </w:r>
      <w:r>
        <w:fldChar w:fldCharType="separate"/>
      </w:r>
      <w:r>
        <w:rPr>
          <w:rFonts w:hint="eastAsia" w:ascii="仿宋" w:hAnsi="仿宋" w:eastAsia="仿宋" w:cs="仿宋"/>
          <w:sz w:val="30"/>
          <w:szCs w:val="30"/>
        </w:rPr>
        <w:t>五、财政拨款支出决算明细表（政府经济分类科目）</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_Toc2226 </w:instrText>
      </w:r>
      <w:r>
        <w:rPr>
          <w:rFonts w:ascii="仿宋" w:hAnsi="仿宋" w:eastAsia="仿宋" w:cs="仿宋"/>
          <w:sz w:val="30"/>
          <w:szCs w:val="30"/>
        </w:rPr>
        <w:fldChar w:fldCharType="separate"/>
      </w:r>
      <w:r>
        <w:rPr>
          <w:rFonts w:ascii="仿宋" w:hAnsi="仿宋" w:eastAsia="仿宋" w:cs="仿宋"/>
          <w:sz w:val="30"/>
          <w:szCs w:val="30"/>
        </w:rPr>
        <w:t>24</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"_Toc8258" </w:instrText>
      </w:r>
      <w:r>
        <w:fldChar w:fldCharType="separate"/>
      </w:r>
      <w:r>
        <w:rPr>
          <w:rFonts w:hint="eastAsia" w:ascii="仿宋" w:hAnsi="仿宋" w:eastAsia="仿宋" w:cs="仿宋"/>
          <w:sz w:val="30"/>
          <w:szCs w:val="30"/>
        </w:rPr>
        <w:t>六、一般公共预算财政拨款支出决算表</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_Toc8258 </w:instrText>
      </w:r>
      <w:r>
        <w:rPr>
          <w:rFonts w:ascii="仿宋" w:hAnsi="仿宋" w:eastAsia="仿宋" w:cs="仿宋"/>
          <w:sz w:val="30"/>
          <w:szCs w:val="30"/>
        </w:rPr>
        <w:fldChar w:fldCharType="separate"/>
      </w:r>
      <w:r>
        <w:rPr>
          <w:rFonts w:ascii="仿宋" w:hAnsi="仿宋" w:eastAsia="仿宋" w:cs="仿宋"/>
          <w:sz w:val="30"/>
          <w:szCs w:val="30"/>
        </w:rPr>
        <w:t>24</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"_Toc28351" </w:instrText>
      </w:r>
      <w:r>
        <w:fldChar w:fldCharType="separate"/>
      </w:r>
      <w:r>
        <w:rPr>
          <w:rFonts w:hint="eastAsia" w:ascii="仿宋" w:hAnsi="仿宋" w:eastAsia="仿宋" w:cs="仿宋"/>
          <w:sz w:val="30"/>
          <w:szCs w:val="30"/>
        </w:rPr>
        <w:t>七、一般公共预算财政拨款支出决算明细表</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_Toc28351 </w:instrText>
      </w:r>
      <w:r>
        <w:rPr>
          <w:rFonts w:ascii="仿宋" w:hAnsi="仿宋" w:eastAsia="仿宋" w:cs="仿宋"/>
          <w:sz w:val="30"/>
          <w:szCs w:val="30"/>
        </w:rPr>
        <w:fldChar w:fldCharType="separate"/>
      </w:r>
      <w:r>
        <w:rPr>
          <w:rFonts w:ascii="仿宋" w:hAnsi="仿宋" w:eastAsia="仿宋" w:cs="仿宋"/>
          <w:sz w:val="30"/>
          <w:szCs w:val="30"/>
        </w:rPr>
        <w:t>24</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"_Toc12271" </w:instrText>
      </w:r>
      <w:r>
        <w:fldChar w:fldCharType="separate"/>
      </w:r>
      <w:r>
        <w:rPr>
          <w:rFonts w:hint="eastAsia" w:ascii="仿宋" w:hAnsi="仿宋" w:eastAsia="仿宋" w:cs="仿宋"/>
          <w:sz w:val="30"/>
          <w:szCs w:val="30"/>
        </w:rPr>
        <w:t>八、一般公共预算财政拨款基本支出决算表</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_Toc12271 </w:instrText>
      </w:r>
      <w:r>
        <w:rPr>
          <w:rFonts w:ascii="仿宋" w:hAnsi="仿宋" w:eastAsia="仿宋" w:cs="仿宋"/>
          <w:sz w:val="30"/>
          <w:szCs w:val="30"/>
        </w:rPr>
        <w:fldChar w:fldCharType="separate"/>
      </w:r>
      <w:r>
        <w:rPr>
          <w:rFonts w:ascii="仿宋" w:hAnsi="仿宋" w:eastAsia="仿宋" w:cs="仿宋"/>
          <w:sz w:val="30"/>
          <w:szCs w:val="30"/>
        </w:rPr>
        <w:t>24</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"_Toc25047" </w:instrText>
      </w:r>
      <w:r>
        <w:fldChar w:fldCharType="separate"/>
      </w:r>
      <w:r>
        <w:rPr>
          <w:rFonts w:hint="eastAsia" w:ascii="仿宋" w:hAnsi="仿宋" w:eastAsia="仿宋" w:cs="仿宋"/>
          <w:sz w:val="30"/>
          <w:szCs w:val="30"/>
        </w:rPr>
        <w:t>九、一般公共预算财政拨款项目支出决算表</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_Toc25047 </w:instrText>
      </w:r>
      <w:r>
        <w:rPr>
          <w:rFonts w:ascii="仿宋" w:hAnsi="仿宋" w:eastAsia="仿宋" w:cs="仿宋"/>
          <w:sz w:val="30"/>
          <w:szCs w:val="30"/>
        </w:rPr>
        <w:fldChar w:fldCharType="separate"/>
      </w:r>
      <w:r>
        <w:rPr>
          <w:rFonts w:ascii="仿宋" w:hAnsi="仿宋" w:eastAsia="仿宋" w:cs="仿宋"/>
          <w:sz w:val="30"/>
          <w:szCs w:val="30"/>
        </w:rPr>
        <w:t>24</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"_Toc14695" </w:instrText>
      </w:r>
      <w:r>
        <w:fldChar w:fldCharType="separate"/>
      </w:r>
      <w:r>
        <w:rPr>
          <w:rFonts w:hint="eastAsia" w:ascii="仿宋" w:hAnsi="仿宋" w:eastAsia="仿宋" w:cs="仿宋"/>
          <w:sz w:val="30"/>
          <w:szCs w:val="30"/>
        </w:rPr>
        <w:t>十、一般公共预算财政拨款“三公”经费支出决算表</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_Toc14695 </w:instrText>
      </w:r>
      <w:r>
        <w:rPr>
          <w:rFonts w:ascii="仿宋" w:hAnsi="仿宋" w:eastAsia="仿宋" w:cs="仿宋"/>
          <w:sz w:val="30"/>
          <w:szCs w:val="30"/>
        </w:rPr>
        <w:fldChar w:fldCharType="separate"/>
      </w:r>
      <w:r>
        <w:rPr>
          <w:rFonts w:ascii="仿宋" w:hAnsi="仿宋" w:eastAsia="仿宋" w:cs="仿宋"/>
          <w:sz w:val="30"/>
          <w:szCs w:val="30"/>
        </w:rPr>
        <w:t>24</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"_Toc16845" </w:instrText>
      </w:r>
      <w:r>
        <w:fldChar w:fldCharType="separate"/>
      </w:r>
      <w:r>
        <w:rPr>
          <w:rFonts w:hint="eastAsia" w:ascii="仿宋" w:hAnsi="仿宋" w:eastAsia="仿宋" w:cs="仿宋"/>
          <w:sz w:val="30"/>
          <w:szCs w:val="30"/>
        </w:rPr>
        <w:t>十一、政府性基金预算财政拨款收入支出决算表</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_Toc16845 </w:instrText>
      </w:r>
      <w:r>
        <w:rPr>
          <w:rFonts w:ascii="仿宋" w:hAnsi="仿宋" w:eastAsia="仿宋" w:cs="仿宋"/>
          <w:sz w:val="30"/>
          <w:szCs w:val="30"/>
        </w:rPr>
        <w:fldChar w:fldCharType="separate"/>
      </w:r>
      <w:r>
        <w:rPr>
          <w:rFonts w:ascii="仿宋" w:hAnsi="仿宋" w:eastAsia="仿宋" w:cs="仿宋"/>
          <w:sz w:val="30"/>
          <w:szCs w:val="30"/>
        </w:rPr>
        <w:t>24</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"_Toc13964" </w:instrText>
      </w:r>
      <w:r>
        <w:fldChar w:fldCharType="separate"/>
      </w:r>
      <w:r>
        <w:rPr>
          <w:rFonts w:hint="eastAsia" w:ascii="仿宋" w:hAnsi="仿宋" w:eastAsia="仿宋" w:cs="仿宋"/>
          <w:sz w:val="30"/>
          <w:szCs w:val="30"/>
        </w:rPr>
        <w:t>十二、政府性基金预算财政拨款“三公”经费支出决算表</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_Toc13964 </w:instrText>
      </w:r>
      <w:r>
        <w:rPr>
          <w:rFonts w:ascii="仿宋" w:hAnsi="仿宋" w:eastAsia="仿宋" w:cs="仿宋"/>
          <w:sz w:val="30"/>
          <w:szCs w:val="30"/>
        </w:rPr>
        <w:fldChar w:fldCharType="separate"/>
      </w:r>
      <w:r>
        <w:rPr>
          <w:rFonts w:ascii="仿宋" w:hAnsi="仿宋" w:eastAsia="仿宋" w:cs="仿宋"/>
          <w:sz w:val="30"/>
          <w:szCs w:val="30"/>
        </w:rPr>
        <w:t>24</w:t>
      </w:r>
      <w:r>
        <w:rPr>
          <w:rFonts w:ascii="仿宋" w:hAnsi="仿宋" w:eastAsia="仿宋" w:cs="仿宋"/>
          <w:sz w:val="30"/>
          <w:szCs w:val="30"/>
        </w:rPr>
        <w:fldChar w:fldCharType="end"/>
      </w:r>
      <w:r>
        <w:rPr>
          <w:rFonts w:ascii="仿宋" w:hAnsi="仿宋" w:eastAsia="仿宋" w:cs="仿宋"/>
          <w:sz w:val="30"/>
          <w:szCs w:val="30"/>
        </w:rPr>
        <w:fldChar w:fldCharType="end"/>
      </w:r>
    </w:p>
    <w:p>
      <w:pPr>
        <w:pStyle w:val="11"/>
        <w:tabs>
          <w:tab w:val="right" w:leader="dot" w:pos="8306"/>
          <w:tab w:val="clear" w:pos="8296"/>
        </w:tabs>
        <w:spacing w:line="300" w:lineRule="exact"/>
        <w:rPr>
          <w:rFonts w:ascii="仿宋" w:hAnsi="仿宋" w:eastAsia="仿宋" w:cs="仿宋"/>
          <w:sz w:val="30"/>
          <w:szCs w:val="30"/>
        </w:rPr>
      </w:pPr>
      <w:r>
        <w:fldChar w:fldCharType="begin"/>
      </w:r>
      <w:r>
        <w:instrText xml:space="preserve"> HYPERLINK \l "_Toc15594" </w:instrText>
      </w:r>
      <w:r>
        <w:fldChar w:fldCharType="separate"/>
      </w:r>
      <w:r>
        <w:rPr>
          <w:rFonts w:hint="eastAsia" w:ascii="仿宋" w:hAnsi="仿宋" w:eastAsia="仿宋" w:cs="仿宋"/>
          <w:sz w:val="30"/>
          <w:szCs w:val="30"/>
        </w:rPr>
        <w:t>十三、国有资本经营预算支出决算表</w:t>
      </w:r>
      <w:r>
        <w:rPr>
          <w:rFonts w:ascii="仿宋" w:hAnsi="仿宋" w:eastAsia="仿宋" w:cs="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_Toc15594 </w:instrText>
      </w:r>
      <w:r>
        <w:rPr>
          <w:rFonts w:ascii="仿宋" w:hAnsi="仿宋" w:eastAsia="仿宋" w:cs="仿宋"/>
          <w:sz w:val="30"/>
          <w:szCs w:val="30"/>
        </w:rPr>
        <w:fldChar w:fldCharType="separate"/>
      </w:r>
      <w:r>
        <w:rPr>
          <w:rFonts w:ascii="仿宋" w:hAnsi="仿宋" w:eastAsia="仿宋" w:cs="仿宋"/>
          <w:sz w:val="30"/>
          <w:szCs w:val="30"/>
        </w:rPr>
        <w:t>24</w:t>
      </w:r>
      <w:r>
        <w:rPr>
          <w:rFonts w:ascii="仿宋" w:hAnsi="仿宋" w:eastAsia="仿宋" w:cs="仿宋"/>
          <w:sz w:val="30"/>
          <w:szCs w:val="30"/>
        </w:rPr>
        <w:fldChar w:fldCharType="end"/>
      </w:r>
      <w:r>
        <w:rPr>
          <w:rFonts w:ascii="仿宋" w:hAnsi="仿宋" w:eastAsia="仿宋" w:cs="仿宋"/>
          <w:sz w:val="30"/>
          <w:szCs w:val="30"/>
        </w:rPr>
        <w:fldChar w:fldCharType="end"/>
      </w:r>
    </w:p>
    <w:p>
      <w:pPr>
        <w:widowControl/>
        <w:jc w:val="left"/>
        <w:rPr>
          <w:rFonts w:ascii="仿宋" w:hAnsi="仿宋" w:eastAsia="仿宋"/>
          <w:sz w:val="24"/>
        </w:rPr>
      </w:pPr>
      <w:r>
        <w:rPr>
          <w:rFonts w:ascii="黑体" w:hAnsi="黑体" w:eastAsia="黑体"/>
          <w:sz w:val="48"/>
          <w:szCs w:val="48"/>
        </w:rPr>
        <w:fldChar w:fldCharType="end"/>
      </w:r>
    </w:p>
    <w:p>
      <w:pPr>
        <w:widowControl/>
        <w:jc w:val="left"/>
        <w:rPr>
          <w:rFonts w:ascii="黑体" w:hAnsi="黑体" w:eastAsia="黑体"/>
          <w:bCs/>
          <w:kern w:val="44"/>
          <w:sz w:val="44"/>
          <w:szCs w:val="44"/>
        </w:rPr>
      </w:pPr>
      <w:bookmarkStart w:id="14" w:name="_Toc15377196"/>
      <w:r>
        <w:rPr>
          <w:rFonts w:ascii="黑体" w:hAnsi="黑体" w:eastAsia="黑体"/>
          <w:b/>
        </w:rPr>
        <w:br w:type="page"/>
      </w:r>
    </w:p>
    <w:p>
      <w:pPr>
        <w:pStyle w:val="2"/>
        <w:jc w:val="center"/>
        <w:rPr>
          <w:rStyle w:val="17"/>
          <w:rFonts w:ascii="黑体" w:hAnsi="黑体" w:eastAsia="黑体"/>
          <w:b/>
          <w:bCs w:val="0"/>
        </w:rPr>
      </w:pPr>
      <w:bookmarkStart w:id="15" w:name="_Toc12401"/>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4"/>
      <w:bookmarkEnd w:id="15"/>
    </w:p>
    <w:p>
      <w:pPr>
        <w:widowControl/>
        <w:jc w:val="left"/>
        <w:rPr>
          <w:rFonts w:ascii="黑体" w:eastAsia="黑体"/>
          <w:sz w:val="32"/>
          <w:szCs w:val="32"/>
        </w:rPr>
      </w:pPr>
    </w:p>
    <w:p>
      <w:pPr>
        <w:pStyle w:val="3"/>
        <w:rPr>
          <w:rStyle w:val="18"/>
          <w:rFonts w:ascii="仿宋" w:hAnsi="仿宋" w:eastAsia="仿宋"/>
          <w:b w:val="0"/>
          <w:bCs w:val="0"/>
        </w:rPr>
      </w:pPr>
      <w:bookmarkStart w:id="16" w:name="_Toc14678"/>
      <w:bookmarkStart w:id="17" w:name="_Toc15377197"/>
      <w:r>
        <w:rPr>
          <w:rFonts w:hint="eastAsia" w:ascii="黑体" w:hAnsi="黑体" w:eastAsia="黑体"/>
          <w:b w:val="0"/>
        </w:rPr>
        <w:t>一、基</w:t>
      </w:r>
      <w:r>
        <w:rPr>
          <w:rStyle w:val="18"/>
          <w:rFonts w:hint="eastAsia" w:ascii="黑体" w:hAnsi="黑体" w:eastAsia="黑体"/>
          <w:b w:val="0"/>
          <w:bCs w:val="0"/>
        </w:rPr>
        <w:t>本职能及主要工作</w:t>
      </w:r>
      <w:bookmarkEnd w:id="16"/>
      <w:bookmarkEnd w:id="17"/>
    </w:p>
    <w:p>
      <w:pPr>
        <w:pStyle w:val="5"/>
        <w:adjustRightInd w:val="0"/>
        <w:snapToGrid w:val="0"/>
        <w:spacing w:before="93" w:line="600" w:lineRule="exact"/>
        <w:ind w:firstLine="672" w:firstLineChars="210"/>
        <w:outlineLvl w:val="2"/>
        <w:rPr>
          <w:rFonts w:ascii="仿宋" w:hAnsi="仿宋" w:eastAsia="仿宋"/>
          <w:kern w:val="2"/>
          <w:sz w:val="32"/>
          <w:szCs w:val="32"/>
        </w:rPr>
      </w:pPr>
      <w:bookmarkStart w:id="18" w:name="_Toc15377198"/>
      <w:bookmarkStart w:id="19" w:name="_Toc15378445"/>
      <w:r>
        <w:rPr>
          <w:rFonts w:hint="eastAsia" w:ascii="仿宋" w:hAnsi="仿宋" w:eastAsia="仿宋"/>
          <w:kern w:val="2"/>
          <w:sz w:val="32"/>
          <w:szCs w:val="32"/>
        </w:rPr>
        <w:t>（一）主要职能。</w:t>
      </w:r>
      <w:bookmarkEnd w:id="18"/>
      <w:bookmarkEnd w:id="19"/>
    </w:p>
    <w:p>
      <w:pPr>
        <w:pStyle w:val="5"/>
        <w:adjustRightInd w:val="0"/>
        <w:snapToGrid w:val="0"/>
        <w:spacing w:before="93" w:line="600" w:lineRule="exact"/>
        <w:ind w:firstLine="672" w:firstLineChars="210"/>
        <w:outlineLvl w:val="2"/>
        <w:rPr>
          <w:rFonts w:ascii="仿宋" w:hAnsi="仿宋" w:eastAsia="仿宋"/>
          <w:kern w:val="2"/>
          <w:sz w:val="32"/>
          <w:szCs w:val="32"/>
        </w:rPr>
      </w:pPr>
      <w:r>
        <w:rPr>
          <w:rFonts w:hint="eastAsia" w:ascii="仿宋" w:hAnsi="仿宋" w:eastAsia="仿宋"/>
          <w:kern w:val="2"/>
          <w:sz w:val="32"/>
          <w:szCs w:val="32"/>
        </w:rPr>
        <w:t>工作职责：贯彻执行国家关于司法行政工作的方针、政策和法律、法规及规章，制定工作发展规划、工作计划并组织实施；拟订普及法律常识规划和法制宣传教育工作计划并组织实施，指导全县各乡镇、各部门和各行业的法制宣传和依法治理工作</w:t>
      </w:r>
      <w:r>
        <w:rPr>
          <w:rFonts w:ascii="仿宋" w:hAnsi="仿宋" w:eastAsia="仿宋"/>
          <w:kern w:val="2"/>
          <w:sz w:val="32"/>
          <w:szCs w:val="32"/>
        </w:rPr>
        <w:t>,</w:t>
      </w:r>
      <w:r>
        <w:rPr>
          <w:rFonts w:hint="eastAsia" w:ascii="仿宋" w:hAnsi="仿宋" w:eastAsia="仿宋"/>
          <w:kern w:val="2"/>
          <w:sz w:val="32"/>
          <w:szCs w:val="32"/>
        </w:rPr>
        <w:t>承办县法制建设领导小组日常工作；负责指导、监督律师工作、公证工作；监督管理全县的法律援助工作；指导、监督管理基层司法所建设和人民调解、社区矫正、刑释解教人员安置帮教、基层法律服务工作；负责全县司法行政系统依法行政工作，监督管理所属社团组织；负责全县司法行政系统的计划、财务、服装、警车等装备的管理工作和系统内部审计工作；负责全县司法行政系统警务督察工作，根据上级有关制度和规范性文件组织实施；负责全县司法行政系统队伍建设和思想政治工作，负责本系统人事警务和干警培训工作；承担县政府公布的有关行政审批事项；增加指导管理社区矫正工作的职责；增加监督管理警务督察工作的职责。承办县委、县政府交办的其他事项。</w:t>
      </w:r>
    </w:p>
    <w:p>
      <w:pPr>
        <w:pStyle w:val="5"/>
        <w:adjustRightInd w:val="0"/>
        <w:snapToGrid w:val="0"/>
        <w:spacing w:before="93" w:line="600" w:lineRule="exact"/>
        <w:ind w:firstLine="672" w:firstLineChars="210"/>
        <w:outlineLvl w:val="2"/>
        <w:rPr>
          <w:rFonts w:ascii="仿宋" w:hAnsi="仿宋" w:eastAsia="仿宋"/>
          <w:bCs/>
          <w:sz w:val="32"/>
          <w:szCs w:val="32"/>
        </w:rPr>
      </w:pPr>
      <w:bookmarkStart w:id="20" w:name="_Toc15378446"/>
      <w:bookmarkStart w:id="21" w:name="_Toc15377199"/>
      <w:r>
        <w:rPr>
          <w:rFonts w:hint="eastAsia" w:ascii="仿宋" w:hAnsi="仿宋" w:eastAsia="仿宋"/>
          <w:bCs/>
          <w:sz w:val="32"/>
          <w:szCs w:val="32"/>
        </w:rPr>
        <w:t>（二）</w:t>
      </w:r>
      <w:r>
        <w:rPr>
          <w:rFonts w:ascii="仿宋" w:hAnsi="仿宋" w:eastAsia="仿宋"/>
          <w:bCs/>
          <w:sz w:val="32"/>
          <w:szCs w:val="32"/>
        </w:rPr>
        <w:t>2018</w:t>
      </w:r>
      <w:r>
        <w:rPr>
          <w:rFonts w:hint="eastAsia" w:ascii="仿宋" w:hAnsi="仿宋" w:eastAsia="仿宋"/>
          <w:bCs/>
          <w:sz w:val="32"/>
          <w:szCs w:val="32"/>
        </w:rPr>
        <w:t>年重点工作完成情况。</w:t>
      </w:r>
      <w:bookmarkEnd w:id="20"/>
      <w:bookmarkEnd w:id="21"/>
    </w:p>
    <w:p>
      <w:pPr>
        <w:pStyle w:val="12"/>
        <w:shd w:val="clear" w:color="auto" w:fill="FFFFFF"/>
        <w:spacing w:beforeAutospacing="0" w:afterAutospacing="0" w:line="572" w:lineRule="exact"/>
        <w:ind w:firstLine="420"/>
        <w:rPr>
          <w:rFonts w:ascii="仿宋" w:hAnsi="仿宋" w:eastAsia="仿宋"/>
          <w:kern w:val="2"/>
          <w:sz w:val="32"/>
          <w:szCs w:val="32"/>
        </w:rPr>
      </w:pPr>
      <w:r>
        <w:rPr>
          <w:rFonts w:hint="eastAsia" w:ascii="仿宋" w:hAnsi="仿宋" w:eastAsia="仿宋"/>
          <w:kern w:val="2"/>
          <w:sz w:val="32"/>
          <w:szCs w:val="32"/>
        </w:rPr>
        <w:t>（一）、深化法治宣传教育工作，在推进依法治区进程上实现新发展</w:t>
      </w:r>
    </w:p>
    <w:p>
      <w:pPr>
        <w:pStyle w:val="12"/>
        <w:shd w:val="clear" w:color="auto" w:fill="FFFFFF"/>
        <w:spacing w:beforeAutospacing="0" w:afterAutospacing="0" w:line="572" w:lineRule="exact"/>
        <w:ind w:firstLine="420"/>
        <w:rPr>
          <w:rFonts w:ascii="仿宋" w:hAnsi="仿宋" w:eastAsia="仿宋"/>
          <w:kern w:val="2"/>
          <w:sz w:val="32"/>
          <w:szCs w:val="32"/>
        </w:rPr>
      </w:pPr>
      <w:r>
        <w:rPr>
          <w:rFonts w:hint="eastAsia" w:ascii="仿宋" w:hAnsi="仿宋" w:eastAsia="仿宋"/>
          <w:kern w:val="2"/>
          <w:sz w:val="32"/>
          <w:szCs w:val="32"/>
        </w:rPr>
        <w:t>（二）深化人民调解工作，在基层基础保障上实现新发展</w:t>
      </w:r>
    </w:p>
    <w:p>
      <w:pPr>
        <w:pStyle w:val="12"/>
        <w:shd w:val="clear" w:color="auto" w:fill="FFFFFF"/>
        <w:spacing w:beforeAutospacing="0" w:afterAutospacing="0" w:line="572" w:lineRule="exact"/>
        <w:ind w:firstLine="420"/>
        <w:rPr>
          <w:rFonts w:ascii="仿宋" w:hAnsi="仿宋" w:eastAsia="仿宋"/>
          <w:kern w:val="2"/>
          <w:sz w:val="32"/>
          <w:szCs w:val="32"/>
        </w:rPr>
      </w:pPr>
      <w:r>
        <w:rPr>
          <w:rFonts w:hint="eastAsia" w:ascii="仿宋" w:hAnsi="仿宋" w:eastAsia="仿宋"/>
          <w:kern w:val="2"/>
          <w:sz w:val="32"/>
          <w:szCs w:val="32"/>
        </w:rPr>
        <w:t>（三）、深化特殊人群管控工作，在推进社会管理上实现新发展</w:t>
      </w:r>
    </w:p>
    <w:p>
      <w:pPr>
        <w:pStyle w:val="12"/>
        <w:shd w:val="clear" w:color="auto" w:fill="FFFFFF"/>
        <w:spacing w:beforeAutospacing="0" w:afterAutospacing="0" w:line="572" w:lineRule="exact"/>
        <w:ind w:firstLine="420"/>
        <w:rPr>
          <w:rFonts w:ascii="仿宋" w:hAnsi="仿宋" w:eastAsia="仿宋"/>
          <w:kern w:val="2"/>
          <w:sz w:val="32"/>
          <w:szCs w:val="32"/>
        </w:rPr>
      </w:pPr>
      <w:r>
        <w:rPr>
          <w:rFonts w:hint="eastAsia" w:ascii="仿宋" w:hAnsi="仿宋" w:eastAsia="仿宋"/>
          <w:kern w:val="2"/>
          <w:sz w:val="32"/>
          <w:szCs w:val="32"/>
        </w:rPr>
        <w:t>（四）、深化法律援助工作，在服务弱势群体和保障民生上实现新发展</w:t>
      </w:r>
    </w:p>
    <w:p>
      <w:pPr>
        <w:pStyle w:val="12"/>
        <w:shd w:val="clear" w:color="auto" w:fill="FFFFFF"/>
        <w:spacing w:beforeAutospacing="0" w:afterAutospacing="0" w:line="572" w:lineRule="exact"/>
        <w:ind w:firstLine="420"/>
        <w:rPr>
          <w:rFonts w:ascii="仿宋" w:hAnsi="仿宋" w:eastAsia="仿宋"/>
          <w:kern w:val="2"/>
          <w:sz w:val="32"/>
          <w:szCs w:val="32"/>
        </w:rPr>
      </w:pPr>
      <w:r>
        <w:rPr>
          <w:rFonts w:hint="eastAsia" w:ascii="仿宋" w:hAnsi="仿宋" w:eastAsia="仿宋"/>
          <w:kern w:val="2"/>
          <w:sz w:val="32"/>
          <w:szCs w:val="32"/>
        </w:rPr>
        <w:t>（五）、深化法律服务工作，在服务社会和谐和促进经济发展上实现新发展</w:t>
      </w:r>
    </w:p>
    <w:p>
      <w:pPr>
        <w:pStyle w:val="12"/>
        <w:shd w:val="clear" w:color="auto" w:fill="FFFFFF"/>
        <w:spacing w:beforeAutospacing="0" w:afterAutospacing="0" w:line="572" w:lineRule="exact"/>
        <w:ind w:firstLine="420"/>
        <w:rPr>
          <w:rFonts w:ascii="仿宋" w:hAnsi="仿宋" w:eastAsia="仿宋"/>
          <w:kern w:val="2"/>
          <w:sz w:val="32"/>
          <w:szCs w:val="32"/>
        </w:rPr>
      </w:pPr>
      <w:r>
        <w:rPr>
          <w:rFonts w:hint="eastAsia" w:ascii="仿宋" w:hAnsi="仿宋" w:eastAsia="仿宋"/>
          <w:kern w:val="2"/>
          <w:sz w:val="32"/>
          <w:szCs w:val="32"/>
        </w:rPr>
        <w:t>（六）、深化司法行政改革工作，在提高司法公信力上实现新发展</w:t>
      </w:r>
    </w:p>
    <w:p>
      <w:pPr>
        <w:pStyle w:val="12"/>
        <w:shd w:val="clear" w:color="auto" w:fill="FFFFFF"/>
        <w:spacing w:beforeAutospacing="0" w:afterAutospacing="0" w:line="572" w:lineRule="exact"/>
        <w:ind w:firstLine="420"/>
        <w:rPr>
          <w:rFonts w:ascii="仿宋" w:hAnsi="仿宋" w:eastAsia="仿宋"/>
          <w:kern w:val="2"/>
          <w:sz w:val="32"/>
          <w:szCs w:val="32"/>
        </w:rPr>
      </w:pPr>
      <w:r>
        <w:rPr>
          <w:rFonts w:hint="eastAsia" w:ascii="仿宋" w:hAnsi="仿宋" w:eastAsia="仿宋"/>
          <w:kern w:val="2"/>
          <w:sz w:val="32"/>
          <w:szCs w:val="32"/>
        </w:rPr>
        <w:t>（七）、深化信息化建设工作，在打造“智慧司法”品牌上实现新发展</w:t>
      </w:r>
    </w:p>
    <w:p>
      <w:pPr>
        <w:pStyle w:val="12"/>
        <w:shd w:val="clear" w:color="auto" w:fill="FFFFFF"/>
        <w:spacing w:beforeAutospacing="0" w:afterAutospacing="0" w:line="572" w:lineRule="exact"/>
        <w:ind w:firstLine="420"/>
        <w:rPr>
          <w:rFonts w:ascii="仿宋" w:hAnsi="仿宋" w:eastAsia="仿宋"/>
          <w:bCs/>
          <w:sz w:val="32"/>
          <w:szCs w:val="32"/>
        </w:rPr>
      </w:pPr>
      <w:r>
        <w:rPr>
          <w:rFonts w:hint="eastAsia" w:ascii="仿宋" w:hAnsi="仿宋" w:eastAsia="仿宋"/>
          <w:kern w:val="2"/>
          <w:sz w:val="32"/>
          <w:szCs w:val="32"/>
        </w:rPr>
        <w:t>（八）、深化职业化建设工作，在司法行政队伍建设上实现新发展</w:t>
      </w:r>
    </w:p>
    <w:p>
      <w:pPr>
        <w:pStyle w:val="3"/>
        <w:keepNext w:val="0"/>
        <w:keepLines w:val="0"/>
        <w:spacing w:before="0" w:line="572" w:lineRule="exact"/>
        <w:rPr>
          <w:rStyle w:val="18"/>
          <w:b w:val="0"/>
          <w:bCs w:val="0"/>
        </w:rPr>
      </w:pPr>
      <w:bookmarkStart w:id="22" w:name="_Toc15377200"/>
      <w:bookmarkStart w:id="23" w:name="_Toc8986"/>
      <w:r>
        <w:rPr>
          <w:rFonts w:hint="eastAsia" w:ascii="黑体" w:eastAsia="黑体"/>
          <w:b w:val="0"/>
        </w:rPr>
        <w:t>二、</w:t>
      </w:r>
      <w:r>
        <w:rPr>
          <w:rFonts w:hint="eastAsia" w:ascii="黑体" w:hAnsi="黑体" w:eastAsia="黑体"/>
          <w:b w:val="0"/>
        </w:rPr>
        <w:t>机</w:t>
      </w:r>
      <w:r>
        <w:rPr>
          <w:rStyle w:val="18"/>
          <w:rFonts w:hint="eastAsia" w:ascii="黑体" w:hAnsi="黑体" w:eastAsia="黑体"/>
          <w:b w:val="0"/>
          <w:bCs w:val="0"/>
        </w:rPr>
        <w:t>构设置</w:t>
      </w:r>
      <w:bookmarkEnd w:id="22"/>
      <w:bookmarkEnd w:id="23"/>
    </w:p>
    <w:p>
      <w:pPr>
        <w:pStyle w:val="5"/>
        <w:adjustRightInd w:val="0"/>
        <w:snapToGrid w:val="0"/>
        <w:spacing w:beforeLines="0" w:line="572"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机构构成情况：区司法局系行政一级单位，下属单位有司法所</w:t>
      </w:r>
      <w:r>
        <w:rPr>
          <w:rFonts w:ascii="仿宋" w:hAnsi="仿宋" w:eastAsia="仿宋"/>
          <w:kern w:val="2"/>
          <w:sz w:val="32"/>
          <w:szCs w:val="32"/>
        </w:rPr>
        <w:t>54</w:t>
      </w:r>
      <w:r>
        <w:rPr>
          <w:rFonts w:hint="eastAsia" w:ascii="仿宋" w:hAnsi="仿宋" w:eastAsia="仿宋"/>
          <w:kern w:val="2"/>
          <w:sz w:val="32"/>
          <w:szCs w:val="32"/>
        </w:rPr>
        <w:t>个，公证处</w:t>
      </w:r>
      <w:r>
        <w:rPr>
          <w:rFonts w:ascii="仿宋" w:hAnsi="仿宋" w:eastAsia="仿宋"/>
          <w:kern w:val="2"/>
          <w:sz w:val="32"/>
          <w:szCs w:val="32"/>
        </w:rPr>
        <w:t>1</w:t>
      </w:r>
      <w:r>
        <w:rPr>
          <w:rFonts w:hint="eastAsia" w:ascii="仿宋" w:hAnsi="仿宋" w:eastAsia="仿宋"/>
          <w:kern w:val="2"/>
          <w:sz w:val="32"/>
          <w:szCs w:val="32"/>
        </w:rPr>
        <w:t>个，司法鉴定中心</w:t>
      </w:r>
      <w:r>
        <w:rPr>
          <w:rFonts w:ascii="仿宋" w:hAnsi="仿宋" w:eastAsia="仿宋"/>
          <w:kern w:val="2"/>
          <w:sz w:val="32"/>
          <w:szCs w:val="32"/>
        </w:rPr>
        <w:t>1</w:t>
      </w:r>
      <w:r>
        <w:rPr>
          <w:rFonts w:hint="eastAsia" w:ascii="仿宋" w:hAnsi="仿宋" w:eastAsia="仿宋"/>
          <w:kern w:val="2"/>
          <w:sz w:val="32"/>
          <w:szCs w:val="32"/>
        </w:rPr>
        <w:t>个，内设机构有法律援助中心</w:t>
      </w:r>
      <w:r>
        <w:rPr>
          <w:rFonts w:ascii="仿宋" w:hAnsi="仿宋" w:eastAsia="仿宋"/>
          <w:kern w:val="2"/>
          <w:sz w:val="32"/>
          <w:szCs w:val="32"/>
        </w:rPr>
        <w:t>1</w:t>
      </w:r>
      <w:r>
        <w:rPr>
          <w:rFonts w:hint="eastAsia" w:ascii="仿宋" w:hAnsi="仿宋" w:eastAsia="仿宋"/>
          <w:kern w:val="2"/>
          <w:sz w:val="32"/>
          <w:szCs w:val="32"/>
        </w:rPr>
        <w:t>人。司法局为一级预算单位，单位性质为行政单位。</w:t>
      </w:r>
    </w:p>
    <w:p>
      <w:pPr>
        <w:pStyle w:val="5"/>
        <w:adjustRightInd w:val="0"/>
        <w:snapToGrid w:val="0"/>
        <w:spacing w:beforeLines="0" w:line="572"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人员情况：司法局编制</w:t>
      </w:r>
      <w:r>
        <w:rPr>
          <w:rFonts w:ascii="仿宋" w:hAnsi="仿宋" w:eastAsia="仿宋"/>
          <w:kern w:val="2"/>
          <w:sz w:val="32"/>
          <w:szCs w:val="32"/>
        </w:rPr>
        <w:t>97</w:t>
      </w:r>
      <w:r>
        <w:rPr>
          <w:rFonts w:hint="eastAsia" w:ascii="仿宋" w:hAnsi="仿宋" w:eastAsia="仿宋"/>
          <w:kern w:val="2"/>
          <w:sz w:val="32"/>
          <w:szCs w:val="32"/>
        </w:rPr>
        <w:t>人，在职人员</w:t>
      </w:r>
      <w:r>
        <w:rPr>
          <w:rFonts w:ascii="仿宋" w:hAnsi="仿宋" w:eastAsia="仿宋"/>
          <w:kern w:val="2"/>
          <w:sz w:val="32"/>
          <w:szCs w:val="32"/>
        </w:rPr>
        <w:t>80</w:t>
      </w:r>
      <w:r>
        <w:rPr>
          <w:rFonts w:hint="eastAsia" w:ascii="仿宋" w:hAnsi="仿宋" w:eastAsia="仿宋"/>
          <w:kern w:val="2"/>
          <w:sz w:val="32"/>
          <w:szCs w:val="32"/>
        </w:rPr>
        <w:t>人，离退休人员</w:t>
      </w:r>
      <w:r>
        <w:rPr>
          <w:rFonts w:ascii="仿宋" w:hAnsi="仿宋" w:eastAsia="仿宋"/>
          <w:kern w:val="2"/>
          <w:sz w:val="32"/>
          <w:szCs w:val="32"/>
        </w:rPr>
        <w:t>28</w:t>
      </w:r>
      <w:r>
        <w:rPr>
          <w:rFonts w:hint="eastAsia" w:ascii="仿宋" w:hAnsi="仿宋" w:eastAsia="仿宋"/>
          <w:kern w:val="2"/>
          <w:sz w:val="32"/>
          <w:szCs w:val="32"/>
        </w:rPr>
        <w:t>人。</w:t>
      </w:r>
    </w:p>
    <w:p>
      <w:pPr>
        <w:pStyle w:val="5"/>
        <w:adjustRightInd w:val="0"/>
        <w:snapToGrid w:val="0"/>
        <w:spacing w:beforeLines="0" w:line="572" w:lineRule="exact"/>
        <w:outlineLvl w:val="2"/>
        <w:rPr>
          <w:rFonts w:ascii="仿宋" w:hAnsi="仿宋" w:eastAsia="仿宋"/>
          <w:kern w:val="2"/>
          <w:sz w:val="32"/>
          <w:szCs w:val="32"/>
        </w:rPr>
      </w:pPr>
      <w:r>
        <w:rPr>
          <w:rFonts w:ascii="仿宋" w:hAnsi="仿宋" w:eastAsia="仿宋"/>
          <w:kern w:val="2"/>
          <w:sz w:val="32"/>
          <w:szCs w:val="32"/>
        </w:rPr>
        <w:br w:type="page"/>
      </w:r>
    </w:p>
    <w:p>
      <w:pPr>
        <w:pStyle w:val="2"/>
        <w:ind w:right="440"/>
        <w:jc w:val="right"/>
        <w:rPr>
          <w:rStyle w:val="17"/>
          <w:rFonts w:ascii="黑体" w:hAnsi="黑体" w:eastAsia="黑体"/>
          <w:b w:val="0"/>
          <w:bCs w:val="0"/>
        </w:rPr>
      </w:pPr>
      <w:bookmarkStart w:id="24" w:name="_Toc17001"/>
      <w:bookmarkStart w:id="25" w:name="_Toc15377204"/>
      <w:r>
        <w:rPr>
          <w:rFonts w:hint="eastAsia" w:ascii="黑体" w:hAnsi="黑体" w:eastAsia="黑体"/>
          <w:b w:val="0"/>
        </w:rPr>
        <w:t>第二部分</w:t>
      </w:r>
      <w:r>
        <w:rPr>
          <w:rFonts w:ascii="黑体" w:hAnsi="黑体" w:eastAsia="黑体"/>
        </w:rPr>
        <w:t xml:space="preserve"> </w:t>
      </w:r>
      <w:r>
        <w:rPr>
          <w:rStyle w:val="17"/>
          <w:rFonts w:ascii="黑体" w:hAnsi="黑体" w:eastAsia="黑体"/>
          <w:b w:val="0"/>
          <w:bCs w:val="0"/>
        </w:rPr>
        <w:t>2018</w:t>
      </w:r>
      <w:r>
        <w:rPr>
          <w:rStyle w:val="17"/>
          <w:rFonts w:hint="eastAsia" w:ascii="黑体" w:hAnsi="黑体" w:eastAsia="黑体"/>
          <w:b w:val="0"/>
          <w:bCs w:val="0"/>
        </w:rPr>
        <w:t>年度部门决算情况说明</w:t>
      </w:r>
      <w:bookmarkEnd w:id="24"/>
      <w:bookmarkEnd w:id="25"/>
    </w:p>
    <w:p/>
    <w:p>
      <w:pPr>
        <w:pStyle w:val="28"/>
        <w:numPr>
          <w:ilvl w:val="0"/>
          <w:numId w:val="1"/>
        </w:numPr>
        <w:spacing w:line="600" w:lineRule="exact"/>
        <w:ind w:firstLineChars="0"/>
        <w:outlineLvl w:val="1"/>
        <w:rPr>
          <w:rStyle w:val="18"/>
          <w:rFonts w:ascii="黑体" w:hAnsi="黑体" w:eastAsia="黑体"/>
          <w:b w:val="0"/>
        </w:rPr>
      </w:pPr>
      <w:bookmarkStart w:id="26" w:name="_Toc20699"/>
      <w:bookmarkStart w:id="27" w:name="_Toc15377205"/>
      <w:r>
        <w:rPr>
          <w:rFonts w:hint="eastAsia" w:ascii="黑体" w:hAnsi="黑体" w:eastAsia="黑体"/>
          <w:sz w:val="32"/>
          <w:szCs w:val="32"/>
        </w:rPr>
        <w:t>收</w:t>
      </w:r>
      <w:r>
        <w:rPr>
          <w:rStyle w:val="18"/>
          <w:rFonts w:hint="eastAsia" w:ascii="黑体" w:hAnsi="黑体" w:eastAsia="黑体"/>
          <w:b w:val="0"/>
        </w:rPr>
        <w:t>入支出决算总体情况说明</w:t>
      </w:r>
      <w:bookmarkEnd w:id="26"/>
      <w:bookmarkEnd w:id="27"/>
    </w:p>
    <w:p>
      <w:pPr>
        <w:spacing w:line="600" w:lineRule="exact"/>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年度收、支总计</w:t>
      </w:r>
      <w:r>
        <w:rPr>
          <w:rFonts w:ascii="仿宋" w:hAnsi="仿宋" w:eastAsia="仿宋"/>
          <w:sz w:val="32"/>
          <w:szCs w:val="32"/>
        </w:rPr>
        <w:t>1685.12</w:t>
      </w:r>
      <w:r>
        <w:rPr>
          <w:rFonts w:hint="eastAsia" w:ascii="仿宋" w:hAnsi="仿宋" w:eastAsia="仿宋"/>
          <w:sz w:val="32"/>
          <w:szCs w:val="32"/>
        </w:rPr>
        <w:t>万元。与</w:t>
      </w:r>
      <w:r>
        <w:rPr>
          <w:rFonts w:ascii="仿宋" w:hAnsi="仿宋" w:eastAsia="仿宋"/>
          <w:sz w:val="32"/>
          <w:szCs w:val="32"/>
        </w:rPr>
        <w:t>2017</w:t>
      </w:r>
      <w:r>
        <w:rPr>
          <w:rFonts w:hint="eastAsia" w:ascii="仿宋" w:hAnsi="仿宋" w:eastAsia="仿宋"/>
          <w:sz w:val="32"/>
          <w:szCs w:val="32"/>
        </w:rPr>
        <w:t>年相比，收、支总计各增加</w:t>
      </w:r>
      <w:r>
        <w:rPr>
          <w:rFonts w:ascii="仿宋" w:hAnsi="仿宋" w:eastAsia="仿宋"/>
          <w:sz w:val="32"/>
          <w:szCs w:val="32"/>
        </w:rPr>
        <w:t>224.82</w:t>
      </w:r>
      <w:r>
        <w:rPr>
          <w:rFonts w:hint="eastAsia" w:ascii="仿宋" w:hAnsi="仿宋" w:eastAsia="仿宋"/>
          <w:sz w:val="32"/>
          <w:szCs w:val="32"/>
        </w:rPr>
        <w:t>万元，增长</w:t>
      </w:r>
      <w:r>
        <w:rPr>
          <w:rFonts w:ascii="仿宋" w:hAnsi="仿宋" w:eastAsia="仿宋"/>
          <w:sz w:val="32"/>
          <w:szCs w:val="32"/>
        </w:rPr>
        <w:t>15.40%</w:t>
      </w:r>
      <w:r>
        <w:rPr>
          <w:rFonts w:hint="eastAsia" w:ascii="仿宋" w:hAnsi="仿宋" w:eastAsia="仿宋"/>
          <w:sz w:val="32"/>
          <w:szCs w:val="32"/>
        </w:rPr>
        <w:t>。主要变动原因是专项业务经费增加等。</w:t>
      </w:r>
    </w:p>
    <w:p>
      <w:pPr>
        <w:spacing w:line="600" w:lineRule="exact"/>
        <w:ind w:firstLine="420" w:firstLineChars="200"/>
        <w:rPr>
          <w:rFonts w:ascii="仿宋" w:hAnsi="仿宋" w:eastAsia="仿宋"/>
          <w:sz w:val="32"/>
          <w:szCs w:val="32"/>
          <w:highlight w:val="yellow"/>
        </w:rPr>
      </w:pPr>
      <w:r>
        <w:drawing>
          <wp:anchor distT="0" distB="0" distL="114300" distR="114300" simplePos="0" relativeHeight="251659264" behindDoc="0" locked="0" layoutInCell="1" allowOverlap="1">
            <wp:simplePos x="0" y="0"/>
            <wp:positionH relativeFrom="column">
              <wp:posOffset>478155</wp:posOffset>
            </wp:positionH>
            <wp:positionV relativeFrom="paragraph">
              <wp:posOffset>179070</wp:posOffset>
            </wp:positionV>
            <wp:extent cx="4145280" cy="2359025"/>
            <wp:effectExtent l="0" t="0" r="7620" b="3175"/>
            <wp:wrapSquare wrapText="bothSides"/>
            <wp:docPr id="1" name="图表 1"/>
            <wp:cNvGraphicFramePr/>
            <a:graphic xmlns:a="http://schemas.openxmlformats.org/drawingml/2006/main">
              <a:graphicData uri="http://schemas.openxmlformats.org/drawingml/2006/picture">
                <pic:pic xmlns:pic="http://schemas.openxmlformats.org/drawingml/2006/picture">
                  <pic:nvPicPr>
                    <pic:cNvPr id="1" name="图表 1"/>
                    <pic:cNvPicPr/>
                  </pic:nvPicPr>
                  <pic:blipFill>
                    <a:blip r:embed="rId6"/>
                    <a:stretch>
                      <a:fillRect/>
                    </a:stretch>
                  </pic:blipFill>
                  <pic:spPr>
                    <a:xfrm>
                      <a:off x="0" y="0"/>
                      <a:ext cx="4145280" cy="2359025"/>
                    </a:xfrm>
                    <a:prstGeom prst="rect">
                      <a:avLst/>
                    </a:prstGeom>
                    <a:noFill/>
                    <a:ln>
                      <a:noFill/>
                    </a:ln>
                  </pic:spPr>
                </pic:pic>
              </a:graphicData>
            </a:graphic>
          </wp:anchor>
        </w:drawing>
      </w:r>
    </w:p>
    <w:p>
      <w:pPr>
        <w:spacing w:line="600" w:lineRule="exact"/>
        <w:ind w:firstLine="640" w:firstLineChars="200"/>
        <w:rPr>
          <w:rFonts w:ascii="仿宋" w:hAnsi="仿宋" w:eastAsia="仿宋"/>
          <w:sz w:val="32"/>
          <w:szCs w:val="32"/>
          <w:highlight w:val="yellow"/>
        </w:rPr>
      </w:pPr>
    </w:p>
    <w:p>
      <w:pPr>
        <w:spacing w:line="600" w:lineRule="exact"/>
        <w:ind w:firstLine="640" w:firstLineChars="200"/>
        <w:rPr>
          <w:rFonts w:ascii="仿宋" w:hAnsi="仿宋" w:eastAsia="仿宋"/>
          <w:sz w:val="32"/>
          <w:szCs w:val="32"/>
          <w:highlight w:val="yellow"/>
        </w:rPr>
      </w:pPr>
    </w:p>
    <w:p>
      <w:pPr>
        <w:spacing w:line="600" w:lineRule="exact"/>
        <w:ind w:firstLine="640" w:firstLineChars="200"/>
        <w:rPr>
          <w:rFonts w:ascii="仿宋" w:hAnsi="仿宋" w:eastAsia="仿宋"/>
          <w:sz w:val="32"/>
          <w:szCs w:val="32"/>
          <w:highlight w:val="yellow"/>
        </w:rPr>
      </w:pPr>
    </w:p>
    <w:p>
      <w:pPr>
        <w:spacing w:line="600" w:lineRule="exact"/>
        <w:ind w:firstLine="640" w:firstLineChars="200"/>
        <w:rPr>
          <w:rFonts w:ascii="仿宋" w:hAnsi="仿宋" w:eastAsia="仿宋"/>
          <w:sz w:val="32"/>
          <w:szCs w:val="32"/>
          <w:highlight w:val="yellow"/>
        </w:rPr>
      </w:pPr>
    </w:p>
    <w:p>
      <w:pPr>
        <w:spacing w:line="600" w:lineRule="exact"/>
        <w:ind w:firstLine="640" w:firstLineChars="200"/>
        <w:rPr>
          <w:rFonts w:ascii="仿宋" w:hAnsi="仿宋" w:eastAsia="仿宋"/>
          <w:sz w:val="32"/>
          <w:szCs w:val="32"/>
          <w:highlight w:val="yellow"/>
        </w:rPr>
      </w:pPr>
    </w:p>
    <w:p>
      <w:pPr>
        <w:spacing w:line="600" w:lineRule="exact"/>
        <w:rPr>
          <w:rFonts w:ascii="仿宋" w:hAnsi="仿宋" w:eastAsia="仿宋"/>
          <w:sz w:val="32"/>
          <w:szCs w:val="32"/>
          <w:highlight w:val="yellow"/>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spacing w:line="600" w:lineRule="exact"/>
        <w:ind w:firstLine="640" w:firstLineChars="200"/>
        <w:jc w:val="left"/>
        <w:rPr>
          <w:rFonts w:ascii="??_GB2312" w:eastAsia="Times New Roman"/>
          <w:sz w:val="32"/>
          <w:szCs w:val="32"/>
        </w:rPr>
      </w:pPr>
    </w:p>
    <w:p>
      <w:pPr>
        <w:pStyle w:val="28"/>
        <w:numPr>
          <w:ilvl w:val="0"/>
          <w:numId w:val="1"/>
        </w:numPr>
        <w:spacing w:line="600" w:lineRule="exact"/>
        <w:ind w:firstLineChars="0"/>
        <w:outlineLvl w:val="1"/>
        <w:rPr>
          <w:rStyle w:val="18"/>
          <w:rFonts w:ascii="黑体" w:hAnsi="黑体" w:eastAsia="黑体"/>
          <w:b w:val="0"/>
        </w:rPr>
      </w:pPr>
      <w:bookmarkStart w:id="28" w:name="_Toc15377206"/>
      <w:bookmarkStart w:id="29" w:name="_Toc6613"/>
      <w:r>
        <w:rPr>
          <w:rFonts w:hint="eastAsia" w:ascii="黑体" w:hAnsi="黑体" w:eastAsia="黑体"/>
          <w:sz w:val="32"/>
          <w:szCs w:val="32"/>
        </w:rPr>
        <w:t>收</w:t>
      </w:r>
      <w:r>
        <w:rPr>
          <w:rStyle w:val="18"/>
          <w:rFonts w:hint="eastAsia" w:ascii="黑体" w:hAnsi="黑体" w:eastAsia="黑体"/>
          <w:b w:val="0"/>
        </w:rPr>
        <w:t>入决算情况说明</w:t>
      </w:r>
      <w:bookmarkEnd w:id="28"/>
      <w:bookmarkEnd w:id="29"/>
    </w:p>
    <w:p>
      <w:pPr>
        <w:spacing w:line="600" w:lineRule="exact"/>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年本年收入合计</w:t>
      </w:r>
      <w:r>
        <w:rPr>
          <w:rFonts w:ascii="仿宋" w:hAnsi="仿宋" w:eastAsia="仿宋"/>
          <w:sz w:val="32"/>
          <w:szCs w:val="32"/>
        </w:rPr>
        <w:t>1668.92</w:t>
      </w:r>
      <w:r>
        <w:rPr>
          <w:rFonts w:hint="eastAsia" w:ascii="仿宋" w:hAnsi="仿宋" w:eastAsia="仿宋"/>
          <w:sz w:val="32"/>
          <w:szCs w:val="32"/>
        </w:rPr>
        <w:t>万元，其中：一般公共预算财政拨款收入</w:t>
      </w:r>
      <w:r>
        <w:rPr>
          <w:rFonts w:ascii="仿宋" w:hAnsi="仿宋" w:eastAsia="仿宋"/>
          <w:sz w:val="32"/>
          <w:szCs w:val="32"/>
        </w:rPr>
        <w:t>1668.92</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；政府性基金预算财政拨款收入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；国有资本经营预算财政拨款收入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；经营收入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；附属单位上缴收入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；其他收入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。（与</w:t>
      </w:r>
      <w:r>
        <w:rPr>
          <w:rFonts w:ascii="仿宋" w:hAnsi="仿宋" w:eastAsia="仿宋"/>
          <w:sz w:val="32"/>
          <w:szCs w:val="32"/>
        </w:rPr>
        <w:t>2017</w:t>
      </w:r>
      <w:r>
        <w:rPr>
          <w:rFonts w:hint="eastAsia" w:ascii="仿宋" w:hAnsi="仿宋" w:eastAsia="仿宋"/>
          <w:sz w:val="32"/>
          <w:szCs w:val="32"/>
        </w:rPr>
        <w:t>年相比，本年收入增加</w:t>
      </w:r>
      <w:r>
        <w:rPr>
          <w:rFonts w:ascii="仿宋" w:hAnsi="仿宋" w:eastAsia="仿宋"/>
          <w:sz w:val="32"/>
          <w:szCs w:val="32"/>
        </w:rPr>
        <w:t>219.17</w:t>
      </w:r>
      <w:r>
        <w:rPr>
          <w:rFonts w:hint="eastAsia" w:ascii="仿宋" w:hAnsi="仿宋" w:eastAsia="仿宋"/>
          <w:sz w:val="32"/>
          <w:szCs w:val="32"/>
        </w:rPr>
        <w:t>万元，增长</w:t>
      </w:r>
      <w:r>
        <w:rPr>
          <w:rFonts w:ascii="仿宋" w:hAnsi="仿宋" w:eastAsia="仿宋"/>
          <w:sz w:val="32"/>
          <w:szCs w:val="32"/>
        </w:rPr>
        <w:t>15.12%</w:t>
      </w:r>
      <w:r>
        <w:rPr>
          <w:rFonts w:hint="eastAsia" w:ascii="仿宋" w:hAnsi="仿宋" w:eastAsia="仿宋"/>
          <w:sz w:val="32"/>
          <w:szCs w:val="32"/>
        </w:rPr>
        <w:t>。主要变动原因是专项业务经费增加等。）</w:t>
      </w:r>
    </w:p>
    <w:p>
      <w:pPr>
        <w:spacing w:line="600" w:lineRule="exact"/>
        <w:ind w:firstLine="420" w:firstLineChars="200"/>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373380</wp:posOffset>
            </wp:positionH>
            <wp:positionV relativeFrom="paragraph">
              <wp:posOffset>55245</wp:posOffset>
            </wp:positionV>
            <wp:extent cx="4060190" cy="2121535"/>
            <wp:effectExtent l="0" t="0" r="16510" b="12065"/>
            <wp:wrapSquare wrapText="bothSides"/>
            <wp:docPr id="2" name="图表 2"/>
            <wp:cNvGraphicFramePr/>
            <a:graphic xmlns:a="http://schemas.openxmlformats.org/drawingml/2006/main">
              <a:graphicData uri="http://schemas.openxmlformats.org/drawingml/2006/picture">
                <pic:pic xmlns:pic="http://schemas.openxmlformats.org/drawingml/2006/picture">
                  <pic:nvPicPr>
                    <pic:cNvPr id="2" name="图表 2"/>
                    <pic:cNvPicPr/>
                  </pic:nvPicPr>
                  <pic:blipFill>
                    <a:blip r:embed="rId7"/>
                    <a:stretch>
                      <a:fillRect/>
                    </a:stretch>
                  </pic:blipFill>
                  <pic:spPr>
                    <a:xfrm>
                      <a:off x="0" y="0"/>
                      <a:ext cx="4060190" cy="2121535"/>
                    </a:xfrm>
                    <a:prstGeom prst="rect">
                      <a:avLst/>
                    </a:prstGeom>
                    <a:noFill/>
                    <a:ln>
                      <a:noFill/>
                    </a:ln>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320" w:firstLineChars="1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：收入决算结构图）（饼状图）</w:t>
      </w:r>
    </w:p>
    <w:p>
      <w:pPr>
        <w:spacing w:line="600" w:lineRule="exact"/>
        <w:ind w:firstLine="640" w:firstLineChars="200"/>
        <w:rPr>
          <w:rFonts w:ascii="??_GB2312" w:eastAsia="Times New Roman"/>
          <w:sz w:val="32"/>
          <w:szCs w:val="32"/>
        </w:rPr>
      </w:pPr>
    </w:p>
    <w:p>
      <w:pPr>
        <w:pStyle w:val="28"/>
        <w:numPr>
          <w:ilvl w:val="0"/>
          <w:numId w:val="1"/>
        </w:numPr>
        <w:spacing w:line="600" w:lineRule="exact"/>
        <w:ind w:firstLineChars="0"/>
        <w:outlineLvl w:val="1"/>
        <w:rPr>
          <w:rStyle w:val="18"/>
          <w:rFonts w:ascii="黑体" w:hAnsi="黑体" w:eastAsia="黑体"/>
          <w:b w:val="0"/>
        </w:rPr>
      </w:pPr>
      <w:bookmarkStart w:id="30" w:name="_Toc30118"/>
      <w:bookmarkStart w:id="31" w:name="_Toc15377207"/>
      <w:r>
        <w:rPr>
          <w:rFonts w:hint="eastAsia" w:ascii="黑体" w:hAnsi="黑体" w:eastAsia="黑体"/>
          <w:sz w:val="32"/>
          <w:szCs w:val="32"/>
        </w:rPr>
        <w:t>支</w:t>
      </w:r>
      <w:r>
        <w:rPr>
          <w:rStyle w:val="18"/>
          <w:rFonts w:hint="eastAsia" w:ascii="黑体" w:hAnsi="黑体" w:eastAsia="黑体"/>
          <w:b w:val="0"/>
        </w:rPr>
        <w:t>出决算情况说明</w:t>
      </w:r>
      <w:bookmarkEnd w:id="30"/>
      <w:bookmarkEnd w:id="31"/>
    </w:p>
    <w:p>
      <w:pPr>
        <w:spacing w:line="600" w:lineRule="exact"/>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年本年支</w:t>
      </w:r>
      <w:r>
        <w:rPr>
          <w:rFonts w:ascii="仿宋" w:hAnsi="仿宋" w:eastAsia="仿宋"/>
          <w:sz w:val="32"/>
          <w:szCs w:val="32"/>
        </w:rPr>
        <w:t>8</w:t>
      </w:r>
      <w:r>
        <w:rPr>
          <w:rFonts w:hint="eastAsia" w:ascii="仿宋" w:hAnsi="仿宋" w:eastAsia="仿宋"/>
          <w:sz w:val="32"/>
          <w:szCs w:val="32"/>
        </w:rPr>
        <w:t>出合计</w:t>
      </w:r>
      <w:r>
        <w:rPr>
          <w:rFonts w:ascii="仿宋" w:hAnsi="仿宋" w:eastAsia="仿宋"/>
          <w:sz w:val="32"/>
          <w:szCs w:val="32"/>
        </w:rPr>
        <w:t>1620.31</w:t>
      </w:r>
      <w:r>
        <w:rPr>
          <w:rFonts w:hint="eastAsia" w:ascii="仿宋" w:hAnsi="仿宋" w:eastAsia="仿宋"/>
          <w:sz w:val="32"/>
          <w:szCs w:val="32"/>
        </w:rPr>
        <w:t>万元，其中：基本支出</w:t>
      </w:r>
      <w:r>
        <w:rPr>
          <w:rFonts w:ascii="仿宋" w:hAnsi="仿宋" w:eastAsia="仿宋"/>
          <w:sz w:val="32"/>
          <w:szCs w:val="32"/>
        </w:rPr>
        <w:t>1198.92</w:t>
      </w:r>
      <w:r>
        <w:rPr>
          <w:rFonts w:hint="eastAsia" w:ascii="仿宋" w:hAnsi="仿宋" w:eastAsia="仿宋"/>
          <w:sz w:val="32"/>
          <w:szCs w:val="32"/>
        </w:rPr>
        <w:t>万元，占</w:t>
      </w:r>
      <w:r>
        <w:rPr>
          <w:rFonts w:ascii="仿宋" w:hAnsi="仿宋" w:eastAsia="仿宋"/>
          <w:sz w:val="32"/>
          <w:szCs w:val="32"/>
        </w:rPr>
        <w:t>74%</w:t>
      </w:r>
      <w:r>
        <w:rPr>
          <w:rFonts w:hint="eastAsia" w:ascii="仿宋" w:hAnsi="仿宋" w:eastAsia="仿宋"/>
          <w:sz w:val="32"/>
          <w:szCs w:val="32"/>
        </w:rPr>
        <w:t>；项目支出</w:t>
      </w:r>
      <w:r>
        <w:rPr>
          <w:rFonts w:ascii="仿宋" w:hAnsi="仿宋" w:eastAsia="仿宋"/>
          <w:sz w:val="32"/>
          <w:szCs w:val="32"/>
        </w:rPr>
        <w:t>421.39</w:t>
      </w:r>
      <w:r>
        <w:rPr>
          <w:rFonts w:hint="eastAsia" w:ascii="仿宋" w:hAnsi="仿宋" w:eastAsia="仿宋"/>
          <w:sz w:val="32"/>
          <w:szCs w:val="32"/>
        </w:rPr>
        <w:t>万元，占</w:t>
      </w:r>
      <w:r>
        <w:rPr>
          <w:rFonts w:ascii="仿宋" w:hAnsi="仿宋" w:eastAsia="仿宋"/>
          <w:sz w:val="32"/>
          <w:szCs w:val="32"/>
        </w:rPr>
        <w:t>26%</w:t>
      </w:r>
      <w:r>
        <w:rPr>
          <w:rFonts w:hint="eastAsia" w:ascii="仿宋" w:hAnsi="仿宋" w:eastAsia="仿宋"/>
          <w:sz w:val="32"/>
          <w:szCs w:val="32"/>
        </w:rPr>
        <w:t>；上缴上级支出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；经营支出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；对附属单位补助支出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。（与</w:t>
      </w:r>
      <w:r>
        <w:rPr>
          <w:rFonts w:ascii="仿宋" w:hAnsi="仿宋" w:eastAsia="仿宋"/>
          <w:sz w:val="32"/>
          <w:szCs w:val="32"/>
        </w:rPr>
        <w:t>2017</w:t>
      </w:r>
      <w:r>
        <w:rPr>
          <w:rFonts w:hint="eastAsia" w:ascii="仿宋" w:hAnsi="仿宋" w:eastAsia="仿宋"/>
          <w:sz w:val="32"/>
          <w:szCs w:val="32"/>
        </w:rPr>
        <w:t>年相比，本年支出增加</w:t>
      </w:r>
      <w:r>
        <w:rPr>
          <w:rFonts w:ascii="仿宋" w:hAnsi="仿宋" w:eastAsia="仿宋"/>
          <w:sz w:val="32"/>
          <w:szCs w:val="32"/>
        </w:rPr>
        <w:t>176.22</w:t>
      </w:r>
      <w:r>
        <w:rPr>
          <w:rFonts w:hint="eastAsia" w:ascii="仿宋" w:hAnsi="仿宋" w:eastAsia="仿宋"/>
          <w:sz w:val="32"/>
          <w:szCs w:val="32"/>
        </w:rPr>
        <w:t>元，增长</w:t>
      </w:r>
      <w:r>
        <w:rPr>
          <w:rFonts w:ascii="仿宋" w:hAnsi="仿宋" w:eastAsia="仿宋"/>
          <w:sz w:val="32"/>
          <w:szCs w:val="32"/>
        </w:rPr>
        <w:t>12.20%</w:t>
      </w:r>
      <w:r>
        <w:rPr>
          <w:rFonts w:hint="eastAsia" w:ascii="仿宋" w:hAnsi="仿宋" w:eastAsia="仿宋"/>
          <w:sz w:val="32"/>
          <w:szCs w:val="32"/>
        </w:rPr>
        <w:t>。主要变动原因是专项业务经费增加等）</w:t>
      </w:r>
    </w:p>
    <w:p>
      <w:pPr>
        <w:spacing w:line="600" w:lineRule="exact"/>
        <w:ind w:firstLine="640" w:firstLineChars="200"/>
        <w:rPr>
          <w:rFonts w:ascii="仿宋" w:hAnsi="仿宋" w:eastAsia="仿宋"/>
          <w:sz w:val="32"/>
          <w:szCs w:val="32"/>
        </w:rPr>
      </w:pPr>
    </w:p>
    <w:p>
      <w:pPr>
        <w:spacing w:line="600" w:lineRule="exact"/>
        <w:ind w:firstLine="640"/>
        <w:rPr>
          <w:rFonts w:ascii="仿宋" w:hAnsi="仿宋" w:eastAsia="仿宋"/>
          <w:sz w:val="32"/>
          <w:szCs w:val="32"/>
          <w:shd w:val="pct10" w:color="auto" w:fill="FFFFFF"/>
        </w:rPr>
      </w:pPr>
      <w:r>
        <w:drawing>
          <wp:anchor distT="0" distB="0" distL="114300" distR="114300" simplePos="0" relativeHeight="251661312" behindDoc="0" locked="0" layoutInCell="1" allowOverlap="1">
            <wp:simplePos x="0" y="0"/>
            <wp:positionH relativeFrom="column">
              <wp:posOffset>455295</wp:posOffset>
            </wp:positionH>
            <wp:positionV relativeFrom="paragraph">
              <wp:posOffset>-10160</wp:posOffset>
            </wp:positionV>
            <wp:extent cx="4218305" cy="2091055"/>
            <wp:effectExtent l="0" t="0" r="10795" b="4445"/>
            <wp:wrapSquare wrapText="bothSides"/>
            <wp:docPr id="3" name="图表 3"/>
            <wp:cNvGraphicFramePr/>
            <a:graphic xmlns:a="http://schemas.openxmlformats.org/drawingml/2006/main">
              <a:graphicData uri="http://schemas.openxmlformats.org/drawingml/2006/picture">
                <pic:pic xmlns:pic="http://schemas.openxmlformats.org/drawingml/2006/picture">
                  <pic:nvPicPr>
                    <pic:cNvPr id="3" name="图表 3"/>
                    <pic:cNvPicPr/>
                  </pic:nvPicPr>
                  <pic:blipFill>
                    <a:blip r:embed="rId8"/>
                    <a:stretch>
                      <a:fillRect/>
                    </a:stretch>
                  </pic:blipFill>
                  <pic:spPr>
                    <a:xfrm>
                      <a:off x="0" y="0"/>
                      <a:ext cx="4218305" cy="2091055"/>
                    </a:xfrm>
                    <a:prstGeom prst="rect">
                      <a:avLst/>
                    </a:prstGeom>
                    <a:noFill/>
                    <a:ln>
                      <a:noFill/>
                    </a:ln>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960" w:firstLineChars="300"/>
        <w:rPr>
          <w:rFonts w:ascii="??_GB2312" w:eastAsia="Times New Roman"/>
          <w:sz w:val="32"/>
          <w:szCs w:val="32"/>
        </w:rPr>
      </w:pP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w:t>
      </w:r>
    </w:p>
    <w:p>
      <w:pPr>
        <w:spacing w:line="600" w:lineRule="exact"/>
        <w:ind w:firstLine="640" w:firstLineChars="200"/>
        <w:outlineLvl w:val="1"/>
        <w:rPr>
          <w:rStyle w:val="18"/>
          <w:rFonts w:ascii="黑体" w:hAnsi="黑体" w:eastAsia="黑体"/>
          <w:b w:val="0"/>
        </w:rPr>
      </w:pPr>
      <w:bookmarkStart w:id="32" w:name="_Toc15377208"/>
      <w:bookmarkStart w:id="33" w:name="_Toc17133"/>
      <w:r>
        <w:rPr>
          <w:rFonts w:hint="eastAsia" w:ascii="黑体" w:hAnsi="黑体" w:eastAsia="黑体"/>
          <w:sz w:val="32"/>
          <w:szCs w:val="32"/>
        </w:rPr>
        <w:t>四、财</w:t>
      </w:r>
      <w:r>
        <w:rPr>
          <w:rStyle w:val="18"/>
          <w:rFonts w:hint="eastAsia" w:ascii="黑体" w:hAnsi="黑体" w:eastAsia="黑体"/>
          <w:b w:val="0"/>
        </w:rPr>
        <w:t>政拨款收入支出决算总体情况说明</w:t>
      </w:r>
      <w:bookmarkEnd w:id="32"/>
      <w:bookmarkEnd w:id="33"/>
    </w:p>
    <w:p>
      <w:pPr>
        <w:spacing w:line="600" w:lineRule="exact"/>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年财政拨款收、支总计</w:t>
      </w:r>
      <w:r>
        <w:rPr>
          <w:rFonts w:ascii="仿宋" w:hAnsi="仿宋" w:eastAsia="仿宋"/>
          <w:sz w:val="32"/>
          <w:szCs w:val="32"/>
        </w:rPr>
        <w:t>1685.12</w:t>
      </w:r>
      <w:r>
        <w:rPr>
          <w:rFonts w:hint="eastAsia" w:ascii="仿宋" w:hAnsi="仿宋" w:eastAsia="仿宋"/>
          <w:sz w:val="32"/>
          <w:szCs w:val="32"/>
        </w:rPr>
        <w:t>万元。与</w:t>
      </w:r>
      <w:r>
        <w:rPr>
          <w:rFonts w:ascii="仿宋" w:hAnsi="仿宋" w:eastAsia="仿宋"/>
          <w:sz w:val="32"/>
          <w:szCs w:val="32"/>
        </w:rPr>
        <w:t>2017</w:t>
      </w:r>
      <w:r>
        <w:rPr>
          <w:rFonts w:hint="eastAsia" w:ascii="仿宋" w:hAnsi="仿宋" w:eastAsia="仿宋"/>
          <w:sz w:val="32"/>
          <w:szCs w:val="32"/>
        </w:rPr>
        <w:t>年相比，财政拨款收、支总计各增加</w:t>
      </w:r>
      <w:r>
        <w:rPr>
          <w:rFonts w:ascii="仿宋" w:hAnsi="仿宋" w:eastAsia="仿宋"/>
          <w:sz w:val="32"/>
          <w:szCs w:val="32"/>
        </w:rPr>
        <w:t>224.82</w:t>
      </w:r>
      <w:r>
        <w:rPr>
          <w:rFonts w:hint="eastAsia" w:ascii="仿宋" w:hAnsi="仿宋" w:eastAsia="仿宋"/>
          <w:sz w:val="32"/>
          <w:szCs w:val="32"/>
        </w:rPr>
        <w:t>万元，增长</w:t>
      </w:r>
      <w:r>
        <w:rPr>
          <w:rFonts w:ascii="仿宋" w:hAnsi="仿宋" w:eastAsia="仿宋"/>
          <w:sz w:val="32"/>
          <w:szCs w:val="32"/>
        </w:rPr>
        <w:t>15.40%</w:t>
      </w:r>
      <w:r>
        <w:rPr>
          <w:rFonts w:hint="eastAsia" w:ascii="仿宋" w:hAnsi="仿宋" w:eastAsia="仿宋"/>
          <w:sz w:val="32"/>
          <w:szCs w:val="32"/>
        </w:rPr>
        <w:t>。主要变动原因是因为专项业务经费增加等。（其中：本年财政拨款收入</w:t>
      </w:r>
      <w:r>
        <w:rPr>
          <w:rFonts w:ascii="仿宋" w:hAnsi="仿宋" w:eastAsia="仿宋"/>
          <w:sz w:val="32"/>
          <w:szCs w:val="32"/>
        </w:rPr>
        <w:t>1668.92</w:t>
      </w:r>
      <w:r>
        <w:rPr>
          <w:rFonts w:hint="eastAsia" w:ascii="仿宋" w:hAnsi="仿宋" w:eastAsia="仿宋"/>
          <w:sz w:val="32"/>
          <w:szCs w:val="32"/>
        </w:rPr>
        <w:t>万元，与</w:t>
      </w:r>
      <w:r>
        <w:rPr>
          <w:rFonts w:ascii="仿宋" w:hAnsi="仿宋" w:eastAsia="仿宋"/>
          <w:sz w:val="32"/>
          <w:szCs w:val="32"/>
        </w:rPr>
        <w:t>2017</w:t>
      </w:r>
      <w:r>
        <w:rPr>
          <w:rFonts w:hint="eastAsia" w:ascii="仿宋" w:hAnsi="仿宋" w:eastAsia="仿宋"/>
          <w:sz w:val="32"/>
          <w:szCs w:val="32"/>
        </w:rPr>
        <w:t>年相比，增加</w:t>
      </w:r>
      <w:r>
        <w:rPr>
          <w:rFonts w:ascii="仿宋" w:hAnsi="仿宋" w:eastAsia="仿宋"/>
          <w:sz w:val="32"/>
          <w:szCs w:val="32"/>
        </w:rPr>
        <w:t>219.17</w:t>
      </w:r>
      <w:r>
        <w:rPr>
          <w:rFonts w:hint="eastAsia" w:ascii="仿宋" w:hAnsi="仿宋" w:eastAsia="仿宋"/>
          <w:sz w:val="32"/>
          <w:szCs w:val="32"/>
        </w:rPr>
        <w:t>万元，增长</w:t>
      </w:r>
      <w:r>
        <w:rPr>
          <w:rFonts w:ascii="仿宋" w:hAnsi="仿宋" w:eastAsia="仿宋"/>
          <w:sz w:val="32"/>
          <w:szCs w:val="32"/>
        </w:rPr>
        <w:t>15.12%</w:t>
      </w:r>
      <w:r>
        <w:rPr>
          <w:rFonts w:hint="eastAsia" w:ascii="仿宋" w:hAnsi="仿宋" w:eastAsia="仿宋"/>
          <w:sz w:val="32"/>
          <w:szCs w:val="32"/>
        </w:rPr>
        <w:t>。主要变动原因是因为专项业务经费增加等；本年财政拨款支出</w:t>
      </w:r>
      <w:r>
        <w:rPr>
          <w:rFonts w:ascii="仿宋" w:hAnsi="仿宋" w:eastAsia="仿宋"/>
          <w:sz w:val="32"/>
          <w:szCs w:val="32"/>
        </w:rPr>
        <w:t>1620.31</w:t>
      </w:r>
      <w:r>
        <w:rPr>
          <w:rFonts w:hint="eastAsia" w:ascii="仿宋" w:hAnsi="仿宋" w:eastAsia="仿宋"/>
          <w:sz w:val="32"/>
          <w:szCs w:val="32"/>
        </w:rPr>
        <w:t>万元，与</w:t>
      </w:r>
      <w:r>
        <w:rPr>
          <w:rFonts w:ascii="仿宋" w:hAnsi="仿宋" w:eastAsia="仿宋"/>
          <w:sz w:val="32"/>
          <w:szCs w:val="32"/>
        </w:rPr>
        <w:t>2017</w:t>
      </w:r>
      <w:r>
        <w:rPr>
          <w:rFonts w:hint="eastAsia" w:ascii="仿宋" w:hAnsi="仿宋" w:eastAsia="仿宋"/>
          <w:sz w:val="32"/>
          <w:szCs w:val="32"/>
        </w:rPr>
        <w:t>年相比，增加</w:t>
      </w:r>
      <w:r>
        <w:rPr>
          <w:rFonts w:ascii="仿宋" w:hAnsi="仿宋" w:eastAsia="仿宋"/>
          <w:sz w:val="32"/>
          <w:szCs w:val="32"/>
        </w:rPr>
        <w:t>176.22</w:t>
      </w:r>
      <w:r>
        <w:rPr>
          <w:rFonts w:hint="eastAsia" w:ascii="仿宋" w:hAnsi="仿宋" w:eastAsia="仿宋"/>
          <w:sz w:val="32"/>
          <w:szCs w:val="32"/>
        </w:rPr>
        <w:t>元，增长</w:t>
      </w:r>
      <w:r>
        <w:rPr>
          <w:rFonts w:ascii="仿宋" w:hAnsi="仿宋" w:eastAsia="仿宋"/>
          <w:sz w:val="32"/>
          <w:szCs w:val="32"/>
        </w:rPr>
        <w:t>12.20%</w:t>
      </w:r>
      <w:r>
        <w:rPr>
          <w:rFonts w:hint="eastAsia" w:ascii="仿宋" w:hAnsi="仿宋" w:eastAsia="仿宋"/>
          <w:sz w:val="32"/>
          <w:szCs w:val="32"/>
        </w:rPr>
        <w:t>。主要变动原因是专项业务经费增加等）</w:t>
      </w:r>
    </w:p>
    <w:p>
      <w:pPr>
        <w:spacing w:line="600" w:lineRule="exact"/>
        <w:ind w:firstLine="420" w:firstLineChars="200"/>
        <w:rPr>
          <w:rFonts w:ascii="仿宋" w:hAnsi="仿宋" w:eastAsia="仿宋"/>
          <w:sz w:val="32"/>
          <w:szCs w:val="32"/>
        </w:rPr>
      </w:pPr>
      <w:r>
        <w:drawing>
          <wp:anchor distT="0" distB="635" distL="114300" distR="114300" simplePos="0" relativeHeight="251662336" behindDoc="0" locked="0" layoutInCell="1" allowOverlap="1">
            <wp:simplePos x="0" y="0"/>
            <wp:positionH relativeFrom="column">
              <wp:posOffset>544830</wp:posOffset>
            </wp:positionH>
            <wp:positionV relativeFrom="paragraph">
              <wp:posOffset>160020</wp:posOffset>
            </wp:positionV>
            <wp:extent cx="4151630" cy="2139950"/>
            <wp:effectExtent l="0" t="0" r="1270" b="12700"/>
            <wp:wrapSquare wrapText="bothSides"/>
            <wp:docPr id="4" name="图片 5"/>
            <wp:cNvGraphicFramePr/>
            <a:graphic xmlns:a="http://schemas.openxmlformats.org/drawingml/2006/main">
              <a:graphicData uri="http://schemas.openxmlformats.org/drawingml/2006/picture">
                <pic:pic xmlns:pic="http://schemas.openxmlformats.org/drawingml/2006/picture">
                  <pic:nvPicPr>
                    <pic:cNvPr id="4" name="图片 5"/>
                    <pic:cNvPicPr/>
                  </pic:nvPicPr>
                  <pic:blipFill>
                    <a:blip r:embed="rId9"/>
                    <a:stretch>
                      <a:fillRect/>
                    </a:stretch>
                  </pic:blipFill>
                  <pic:spPr>
                    <a:xfrm>
                      <a:off x="0" y="0"/>
                      <a:ext cx="4151630" cy="2139950"/>
                    </a:xfrm>
                    <a:prstGeom prst="rect">
                      <a:avLst/>
                    </a:prstGeom>
                    <a:noFill/>
                    <a:ln>
                      <a:noFill/>
                    </a:ln>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w:t>
      </w:r>
    </w:p>
    <w:p>
      <w:pPr>
        <w:spacing w:line="600" w:lineRule="exact"/>
        <w:ind w:firstLine="640"/>
        <w:rPr>
          <w:rFonts w:ascii="仿宋" w:hAnsi="仿宋" w:eastAsia="仿宋"/>
          <w:b/>
          <w:sz w:val="32"/>
          <w:szCs w:val="32"/>
        </w:rPr>
      </w:pPr>
    </w:p>
    <w:p>
      <w:pPr>
        <w:spacing w:line="600" w:lineRule="exact"/>
        <w:ind w:firstLine="640" w:firstLineChars="200"/>
        <w:outlineLvl w:val="1"/>
        <w:rPr>
          <w:rStyle w:val="18"/>
          <w:rFonts w:ascii="黑体" w:hAnsi="黑体" w:eastAsia="黑体"/>
          <w:b w:val="0"/>
        </w:rPr>
      </w:pPr>
      <w:bookmarkStart w:id="34" w:name="_Toc27159"/>
      <w:bookmarkStart w:id="35" w:name="_Toc15377209"/>
      <w:r>
        <w:rPr>
          <w:rFonts w:hint="eastAsia" w:ascii="黑体" w:hAnsi="黑体" w:eastAsia="黑体"/>
          <w:sz w:val="32"/>
          <w:szCs w:val="32"/>
        </w:rPr>
        <w:t>五、</w:t>
      </w:r>
      <w:r>
        <w:rPr>
          <w:rFonts w:hint="eastAsia" w:ascii="黑体" w:hAnsi="黑体" w:eastAsia="黑体"/>
          <w:b/>
          <w:sz w:val="32"/>
          <w:szCs w:val="32"/>
        </w:rPr>
        <w:t>一</w:t>
      </w:r>
      <w:r>
        <w:rPr>
          <w:rStyle w:val="18"/>
          <w:rFonts w:hint="eastAsia" w:ascii="黑体" w:hAnsi="黑体" w:eastAsia="黑体"/>
          <w:b w:val="0"/>
        </w:rPr>
        <w:t>般公共预算财政拨款支出决算情况说明</w:t>
      </w:r>
      <w:bookmarkEnd w:id="34"/>
      <w:bookmarkEnd w:id="35"/>
    </w:p>
    <w:p>
      <w:pPr>
        <w:spacing w:line="600" w:lineRule="exact"/>
        <w:ind w:firstLine="643" w:firstLineChars="200"/>
        <w:outlineLvl w:val="2"/>
        <w:rPr>
          <w:rFonts w:ascii="仿宋" w:hAnsi="仿宋" w:eastAsia="仿宋"/>
          <w:b/>
          <w:sz w:val="32"/>
          <w:szCs w:val="32"/>
        </w:rPr>
      </w:pPr>
      <w:bookmarkStart w:id="36" w:name="_Toc15377210"/>
      <w:r>
        <w:rPr>
          <w:rFonts w:hint="eastAsia" w:ascii="仿宋" w:hAnsi="仿宋" w:eastAsia="仿宋"/>
          <w:b/>
          <w:sz w:val="32"/>
          <w:szCs w:val="32"/>
        </w:rPr>
        <w:t>（一）一般公共预算财政拨款支出决算总体情况</w:t>
      </w:r>
      <w:bookmarkEnd w:id="36"/>
    </w:p>
    <w:p>
      <w:pPr>
        <w:spacing w:line="600" w:lineRule="exact"/>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年一般公共预算财政拨款支出</w:t>
      </w:r>
      <w:r>
        <w:rPr>
          <w:rFonts w:ascii="仿宋" w:hAnsi="仿宋" w:eastAsia="仿宋"/>
          <w:sz w:val="32"/>
          <w:szCs w:val="32"/>
        </w:rPr>
        <w:t>1620.31</w:t>
      </w:r>
      <w:r>
        <w:rPr>
          <w:rFonts w:hint="eastAsia" w:ascii="仿宋" w:hAnsi="仿宋" w:eastAsia="仿宋"/>
          <w:sz w:val="32"/>
          <w:szCs w:val="32"/>
        </w:rPr>
        <w:t>万元，占本年支出合计的</w:t>
      </w:r>
      <w:r>
        <w:rPr>
          <w:rFonts w:ascii="仿宋" w:hAnsi="仿宋" w:eastAsia="仿宋"/>
          <w:sz w:val="32"/>
          <w:szCs w:val="32"/>
        </w:rPr>
        <w:t>100%</w:t>
      </w:r>
      <w:r>
        <w:rPr>
          <w:rFonts w:hint="eastAsia" w:ascii="仿宋" w:hAnsi="仿宋" w:eastAsia="仿宋"/>
          <w:sz w:val="32"/>
          <w:szCs w:val="32"/>
        </w:rPr>
        <w:t>。与</w:t>
      </w:r>
      <w:r>
        <w:rPr>
          <w:rFonts w:ascii="仿宋" w:hAnsi="仿宋" w:eastAsia="仿宋"/>
          <w:sz w:val="32"/>
          <w:szCs w:val="32"/>
        </w:rPr>
        <w:t>2017</w:t>
      </w:r>
      <w:r>
        <w:rPr>
          <w:rFonts w:hint="eastAsia" w:ascii="仿宋" w:hAnsi="仿宋" w:eastAsia="仿宋"/>
          <w:sz w:val="32"/>
          <w:szCs w:val="32"/>
        </w:rPr>
        <w:t>年相比，一般公共预算财政拨款增加</w:t>
      </w:r>
      <w:r>
        <w:rPr>
          <w:rFonts w:ascii="仿宋" w:hAnsi="仿宋" w:eastAsia="仿宋"/>
          <w:sz w:val="32"/>
          <w:szCs w:val="32"/>
        </w:rPr>
        <w:t>176.22</w:t>
      </w:r>
      <w:r>
        <w:rPr>
          <w:rFonts w:hint="eastAsia" w:ascii="仿宋" w:hAnsi="仿宋" w:eastAsia="仿宋"/>
          <w:sz w:val="32"/>
          <w:szCs w:val="32"/>
        </w:rPr>
        <w:t>元，增长</w:t>
      </w:r>
      <w:r>
        <w:rPr>
          <w:rFonts w:ascii="仿宋" w:hAnsi="仿宋" w:eastAsia="仿宋"/>
          <w:sz w:val="32"/>
          <w:szCs w:val="32"/>
        </w:rPr>
        <w:t>12.20%</w:t>
      </w:r>
      <w:r>
        <w:rPr>
          <w:rFonts w:hint="eastAsia" w:ascii="仿宋" w:hAnsi="仿宋" w:eastAsia="仿宋"/>
          <w:sz w:val="32"/>
          <w:szCs w:val="32"/>
        </w:rPr>
        <w:t>。主要变动原因是因为专项业务经费增加等</w:t>
      </w:r>
    </w:p>
    <w:p>
      <w:pPr>
        <w:spacing w:line="600" w:lineRule="exact"/>
        <w:ind w:firstLine="420" w:firstLineChars="200"/>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487680</wp:posOffset>
            </wp:positionH>
            <wp:positionV relativeFrom="paragraph">
              <wp:posOffset>236220</wp:posOffset>
            </wp:positionV>
            <wp:extent cx="4304030" cy="2286000"/>
            <wp:effectExtent l="0" t="0" r="1270" b="0"/>
            <wp:wrapSquare wrapText="bothSides"/>
            <wp:docPr id="5" name="图表 4"/>
            <wp:cNvGraphicFramePr/>
            <a:graphic xmlns:a="http://schemas.openxmlformats.org/drawingml/2006/main">
              <a:graphicData uri="http://schemas.openxmlformats.org/drawingml/2006/picture">
                <pic:pic xmlns:pic="http://schemas.openxmlformats.org/drawingml/2006/picture">
                  <pic:nvPicPr>
                    <pic:cNvPr id="5" name="图表 4"/>
                    <pic:cNvPicPr/>
                  </pic:nvPicPr>
                  <pic:blipFill>
                    <a:blip r:embed="rId10"/>
                    <a:stretch>
                      <a:fillRect/>
                    </a:stretch>
                  </pic:blipFill>
                  <pic:spPr>
                    <a:xfrm>
                      <a:off x="0" y="0"/>
                      <a:ext cx="4304030" cy="2286000"/>
                    </a:xfrm>
                    <a:prstGeom prst="rect">
                      <a:avLst/>
                    </a:prstGeom>
                    <a:noFill/>
                    <a:ln>
                      <a:noFill/>
                    </a:ln>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7" w:name="_Toc15377211"/>
      <w:r>
        <w:rPr>
          <w:rFonts w:hint="eastAsia" w:ascii="仿宋" w:hAnsi="仿宋" w:eastAsia="仿宋"/>
          <w:b/>
          <w:sz w:val="32"/>
          <w:szCs w:val="32"/>
        </w:rPr>
        <w:t>（二）一般公共预算财政拨款支出决算结构情况</w:t>
      </w:r>
      <w:bookmarkEnd w:id="37"/>
    </w:p>
    <w:p>
      <w:pPr>
        <w:spacing w:line="600" w:lineRule="exact"/>
        <w:ind w:firstLine="64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年一般公共预算财政拨款支出</w:t>
      </w:r>
      <w:r>
        <w:rPr>
          <w:rFonts w:ascii="仿宋" w:hAnsi="仿宋" w:eastAsia="仿宋"/>
          <w:sz w:val="32"/>
          <w:szCs w:val="32"/>
        </w:rPr>
        <w:t>1620.31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r>
        <w:rPr>
          <w:rFonts w:hint="eastAsia" w:ascii="仿宋" w:hAnsi="仿宋" w:eastAsia="仿宋"/>
          <w:b/>
          <w:sz w:val="32"/>
          <w:szCs w:val="32"/>
        </w:rPr>
        <w:t>教育支出（类）</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r>
        <w:rPr>
          <w:rFonts w:hint="eastAsia" w:ascii="仿宋" w:hAnsi="仿宋" w:eastAsia="仿宋"/>
          <w:b/>
          <w:sz w:val="32"/>
          <w:szCs w:val="32"/>
        </w:rPr>
        <w:t>公共安全（类）支出</w:t>
      </w:r>
      <w:r>
        <w:rPr>
          <w:rFonts w:ascii="仿宋" w:hAnsi="仿宋" w:eastAsia="仿宋"/>
          <w:b/>
          <w:sz w:val="32"/>
          <w:szCs w:val="32"/>
        </w:rPr>
        <w:t>1364.5</w:t>
      </w:r>
      <w:r>
        <w:rPr>
          <w:rFonts w:hint="eastAsia" w:ascii="仿宋" w:hAnsi="仿宋" w:eastAsia="仿宋"/>
          <w:b/>
          <w:sz w:val="32"/>
          <w:szCs w:val="32"/>
        </w:rPr>
        <w:t>万元，占</w:t>
      </w:r>
      <w:r>
        <w:rPr>
          <w:rFonts w:ascii="仿宋" w:hAnsi="仿宋" w:eastAsia="仿宋"/>
          <w:b/>
          <w:sz w:val="32"/>
          <w:szCs w:val="32"/>
        </w:rPr>
        <w:t>84.21%</w:t>
      </w:r>
      <w:r>
        <w:rPr>
          <w:rFonts w:hint="eastAsia" w:ascii="仿宋" w:hAnsi="仿宋" w:eastAsia="仿宋"/>
          <w:b/>
          <w:sz w:val="32"/>
          <w:szCs w:val="32"/>
        </w:rPr>
        <w:t>；社会保障和就业（类）</w:t>
      </w:r>
      <w:r>
        <w:rPr>
          <w:rFonts w:hint="eastAsia" w:ascii="仿宋" w:hAnsi="仿宋" w:eastAsia="仿宋"/>
          <w:sz w:val="32"/>
          <w:szCs w:val="32"/>
        </w:rPr>
        <w:t>支出</w:t>
      </w:r>
      <w:r>
        <w:rPr>
          <w:rFonts w:ascii="仿宋" w:hAnsi="仿宋" w:eastAsia="仿宋"/>
          <w:sz w:val="32"/>
          <w:szCs w:val="32"/>
        </w:rPr>
        <w:t>117.96</w:t>
      </w:r>
      <w:r>
        <w:rPr>
          <w:rFonts w:hint="eastAsia" w:ascii="仿宋" w:hAnsi="仿宋" w:eastAsia="仿宋"/>
          <w:sz w:val="32"/>
          <w:szCs w:val="32"/>
        </w:rPr>
        <w:t>万元，占</w:t>
      </w:r>
      <w:r>
        <w:rPr>
          <w:rFonts w:ascii="仿宋" w:hAnsi="仿宋" w:eastAsia="仿宋"/>
          <w:sz w:val="32"/>
          <w:szCs w:val="32"/>
        </w:rPr>
        <w:t>7.28%</w:t>
      </w:r>
      <w:r>
        <w:rPr>
          <w:rFonts w:hint="eastAsia" w:ascii="仿宋" w:hAnsi="仿宋" w:eastAsia="仿宋"/>
          <w:sz w:val="32"/>
          <w:szCs w:val="32"/>
        </w:rPr>
        <w:t>；医疗卫生支出</w:t>
      </w:r>
      <w:r>
        <w:rPr>
          <w:rFonts w:ascii="仿宋" w:hAnsi="仿宋" w:eastAsia="仿宋"/>
          <w:sz w:val="32"/>
          <w:szCs w:val="32"/>
        </w:rPr>
        <w:t>45.27</w:t>
      </w:r>
      <w:r>
        <w:rPr>
          <w:rFonts w:hint="eastAsia" w:ascii="仿宋" w:hAnsi="仿宋" w:eastAsia="仿宋"/>
          <w:sz w:val="32"/>
          <w:szCs w:val="32"/>
        </w:rPr>
        <w:t>万元，占</w:t>
      </w:r>
      <w:r>
        <w:rPr>
          <w:rFonts w:ascii="仿宋" w:hAnsi="仿宋" w:eastAsia="仿宋"/>
          <w:sz w:val="32"/>
          <w:szCs w:val="32"/>
        </w:rPr>
        <w:t>2.79%</w:t>
      </w:r>
      <w:r>
        <w:rPr>
          <w:rFonts w:hint="eastAsia" w:ascii="仿宋" w:hAnsi="仿宋" w:eastAsia="仿宋"/>
          <w:sz w:val="32"/>
          <w:szCs w:val="32"/>
        </w:rPr>
        <w:t>；住房保障支出</w:t>
      </w:r>
      <w:r>
        <w:rPr>
          <w:rFonts w:ascii="仿宋" w:hAnsi="仿宋" w:eastAsia="仿宋"/>
          <w:sz w:val="32"/>
          <w:szCs w:val="32"/>
        </w:rPr>
        <w:t>92.59</w:t>
      </w:r>
      <w:r>
        <w:rPr>
          <w:rFonts w:hint="eastAsia" w:ascii="仿宋" w:hAnsi="仿宋" w:eastAsia="仿宋"/>
          <w:sz w:val="32"/>
          <w:szCs w:val="32"/>
        </w:rPr>
        <w:t>万元，占</w:t>
      </w:r>
      <w:r>
        <w:rPr>
          <w:rFonts w:ascii="仿宋" w:hAnsi="仿宋" w:eastAsia="仿宋"/>
          <w:sz w:val="32"/>
          <w:szCs w:val="32"/>
        </w:rPr>
        <w:t>5.72%</w:t>
      </w:r>
      <w:r>
        <w:rPr>
          <w:rFonts w:hint="eastAsia" w:ascii="仿宋" w:hAnsi="仿宋" w:eastAsia="仿宋"/>
          <w:sz w:val="32"/>
          <w:szCs w:val="32"/>
        </w:rPr>
        <w:t>。</w:t>
      </w:r>
    </w:p>
    <w:p>
      <w:pPr>
        <w:spacing w:line="600" w:lineRule="exact"/>
        <w:ind w:firstLine="640"/>
        <w:rPr>
          <w:rFonts w:ascii="仿宋" w:hAnsi="仿宋" w:eastAsia="仿宋"/>
          <w:sz w:val="32"/>
          <w:szCs w:val="32"/>
        </w:rPr>
      </w:pPr>
      <w:r>
        <w:drawing>
          <wp:anchor distT="0" distB="1270" distL="114300" distR="114300" simplePos="0" relativeHeight="251664384" behindDoc="0" locked="0" layoutInCell="1" allowOverlap="1">
            <wp:simplePos x="0" y="0"/>
            <wp:positionH relativeFrom="column">
              <wp:posOffset>354965</wp:posOffset>
            </wp:positionH>
            <wp:positionV relativeFrom="paragraph">
              <wp:posOffset>240030</wp:posOffset>
            </wp:positionV>
            <wp:extent cx="4382770" cy="2377440"/>
            <wp:effectExtent l="0" t="0" r="17780" b="3810"/>
            <wp:wrapSquare wrapText="bothSides"/>
            <wp:docPr id="6" name="图表 5"/>
            <wp:cNvGraphicFramePr/>
            <a:graphic xmlns:a="http://schemas.openxmlformats.org/drawingml/2006/main">
              <a:graphicData uri="http://schemas.openxmlformats.org/drawingml/2006/picture">
                <pic:pic xmlns:pic="http://schemas.openxmlformats.org/drawingml/2006/picture">
                  <pic:nvPicPr>
                    <pic:cNvPr id="6" name="图表 5"/>
                    <pic:cNvPicPr/>
                  </pic:nvPicPr>
                  <pic:blipFill>
                    <a:blip r:embed="rId11"/>
                    <a:stretch>
                      <a:fillRect/>
                    </a:stretch>
                  </pic:blipFill>
                  <pic:spPr>
                    <a:xfrm>
                      <a:off x="0" y="0"/>
                      <a:ext cx="4382770" cy="2377440"/>
                    </a:xfrm>
                    <a:prstGeom prst="rect">
                      <a:avLst/>
                    </a:prstGeom>
                    <a:noFill/>
                    <a:ln>
                      <a:noFill/>
                    </a:ln>
                  </pic:spPr>
                </pic:pic>
              </a:graphicData>
            </a:graphic>
          </wp:anchor>
        </w:drawing>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w:t>
      </w:r>
    </w:p>
    <w:p>
      <w:pPr>
        <w:spacing w:line="600" w:lineRule="exact"/>
        <w:ind w:firstLine="643" w:firstLineChars="200"/>
        <w:outlineLvl w:val="2"/>
        <w:rPr>
          <w:rFonts w:ascii="仿宋" w:hAnsi="仿宋" w:eastAsia="仿宋"/>
          <w:b/>
          <w:sz w:val="32"/>
          <w:szCs w:val="32"/>
        </w:rPr>
      </w:pPr>
      <w:bookmarkStart w:id="38" w:name="_Toc15377212"/>
      <w:r>
        <w:rPr>
          <w:rFonts w:hint="eastAsia" w:ascii="仿宋" w:hAnsi="仿宋" w:eastAsia="仿宋"/>
          <w:b/>
          <w:sz w:val="32"/>
          <w:szCs w:val="32"/>
        </w:rPr>
        <w:t>（三）一般公共预算财政拨款支出决算具体情况</w:t>
      </w:r>
      <w:bookmarkEnd w:id="38"/>
    </w:p>
    <w:p>
      <w:pPr>
        <w:spacing w:line="600" w:lineRule="exact"/>
        <w:ind w:firstLine="643" w:firstLineChars="200"/>
        <w:outlineLvl w:val="2"/>
        <w:rPr>
          <w:rFonts w:ascii="仿宋" w:hAnsi="仿宋" w:eastAsia="仿宋"/>
          <w:sz w:val="32"/>
          <w:szCs w:val="32"/>
        </w:rPr>
      </w:pPr>
      <w:bookmarkStart w:id="39" w:name="_Toc15377213"/>
      <w:bookmarkStart w:id="40" w:name="_Toc15377444"/>
      <w:bookmarkStart w:id="41" w:name="_Toc15378460"/>
      <w:r>
        <w:rPr>
          <w:rFonts w:ascii="仿宋" w:hAnsi="仿宋" w:eastAsia="仿宋"/>
          <w:b/>
          <w:sz w:val="32"/>
          <w:szCs w:val="32"/>
        </w:rPr>
        <w:t>2018</w:t>
      </w:r>
      <w:r>
        <w:rPr>
          <w:rFonts w:hint="eastAsia" w:ascii="仿宋" w:hAnsi="仿宋" w:eastAsia="仿宋"/>
          <w:b/>
          <w:sz w:val="32"/>
          <w:szCs w:val="32"/>
        </w:rPr>
        <w:t>年一般公共预算支出决算数为</w:t>
      </w:r>
      <w:r>
        <w:rPr>
          <w:rFonts w:ascii="仿宋" w:hAnsi="仿宋" w:eastAsia="仿宋"/>
          <w:b/>
          <w:sz w:val="32"/>
          <w:szCs w:val="32"/>
        </w:rPr>
        <w:t>1620.31</w:t>
      </w:r>
      <w:r>
        <w:rPr>
          <w:rFonts w:hint="eastAsia" w:ascii="仿宋" w:hAnsi="仿宋" w:eastAsia="仿宋"/>
          <w:b/>
          <w:sz w:val="32"/>
          <w:szCs w:val="32"/>
        </w:rPr>
        <w:t>万元</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ascii="仿宋" w:hAnsi="仿宋" w:eastAsia="仿宋"/>
          <w:bCs/>
          <w:sz w:val="32"/>
          <w:szCs w:val="32"/>
        </w:rPr>
        <w:t>96.15%</w:t>
      </w:r>
      <w:r>
        <w:rPr>
          <w:rStyle w:val="15"/>
          <w:rFonts w:hint="eastAsia" w:ascii="仿宋" w:hAnsi="仿宋" w:eastAsia="仿宋"/>
          <w:bCs/>
          <w:sz w:val="32"/>
          <w:szCs w:val="32"/>
        </w:rPr>
        <w:t>。其中：</w:t>
      </w:r>
      <w:bookmarkEnd w:id="39"/>
      <w:bookmarkEnd w:id="40"/>
      <w:bookmarkEnd w:id="41"/>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公共安全支出（类）司法（款）行政运行（项）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ascii="仿宋" w:hAnsi="仿宋" w:eastAsia="仿宋"/>
          <w:b w:val="0"/>
          <w:bCs/>
          <w:sz w:val="32"/>
          <w:szCs w:val="32"/>
        </w:rPr>
        <w:t>943.1</w:t>
      </w:r>
      <w:r>
        <w:rPr>
          <w:rStyle w:val="15"/>
          <w:rFonts w:hint="eastAsia" w:ascii="仿宋" w:hAnsi="仿宋" w:eastAsia="仿宋"/>
          <w:b w:val="0"/>
          <w:bCs/>
          <w:sz w:val="32"/>
          <w:szCs w:val="32"/>
        </w:rPr>
        <w:t>万元，完成预算</w:t>
      </w:r>
      <w:r>
        <w:rPr>
          <w:rStyle w:val="15"/>
          <w:rFonts w:ascii="仿宋" w:hAnsi="仿宋" w:eastAsia="仿宋"/>
          <w:b w:val="0"/>
          <w:bCs/>
          <w:sz w:val="32"/>
          <w:szCs w:val="32"/>
        </w:rPr>
        <w:t>100%</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Style w:val="15"/>
          <w:rFonts w:ascii="仿宋" w:hAnsi="仿宋" w:eastAsia="仿宋"/>
          <w:bCs/>
          <w:sz w:val="32"/>
          <w:szCs w:val="32"/>
        </w:rPr>
        <w:t>2.</w:t>
      </w:r>
      <w:r>
        <w:rPr>
          <w:rStyle w:val="15"/>
          <w:rFonts w:hint="eastAsia" w:ascii="仿宋" w:hAnsi="仿宋" w:eastAsia="仿宋"/>
          <w:bCs/>
          <w:sz w:val="32"/>
          <w:szCs w:val="32"/>
        </w:rPr>
        <w:t>公共安全支出（类）司法（款）一般行政管理事务（项）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ascii="仿宋" w:hAnsi="仿宋" w:eastAsia="仿宋"/>
          <w:b w:val="0"/>
          <w:bCs/>
          <w:sz w:val="32"/>
          <w:szCs w:val="32"/>
        </w:rPr>
        <w:t>397.81</w:t>
      </w:r>
      <w:r>
        <w:rPr>
          <w:rStyle w:val="15"/>
          <w:rFonts w:hint="eastAsia" w:ascii="仿宋" w:hAnsi="仿宋" w:eastAsia="仿宋"/>
          <w:b w:val="0"/>
          <w:bCs/>
          <w:sz w:val="32"/>
          <w:szCs w:val="32"/>
        </w:rPr>
        <w:t>万元，完成预算</w:t>
      </w:r>
      <w:r>
        <w:rPr>
          <w:rStyle w:val="15"/>
          <w:rFonts w:ascii="仿宋" w:hAnsi="仿宋" w:eastAsia="仿宋"/>
          <w:b w:val="0"/>
          <w:bCs/>
          <w:sz w:val="32"/>
          <w:szCs w:val="32"/>
        </w:rPr>
        <w:t>91.87%</w:t>
      </w:r>
      <w:r>
        <w:rPr>
          <w:rStyle w:val="15"/>
          <w:rFonts w:hint="eastAsia" w:ascii="仿宋" w:hAnsi="仿宋" w:eastAsia="仿宋"/>
          <w:b w:val="0"/>
          <w:bCs/>
          <w:sz w:val="32"/>
          <w:szCs w:val="32"/>
        </w:rPr>
        <w:t>，决算数小于预算数的主要原因是精准预算，压缩资金。</w:t>
      </w:r>
    </w:p>
    <w:p>
      <w:pPr>
        <w:spacing w:line="600" w:lineRule="exact"/>
        <w:ind w:firstLine="643" w:firstLineChars="200"/>
        <w:rPr>
          <w:rStyle w:val="15"/>
          <w:rFonts w:ascii="仿宋" w:hAnsi="仿宋" w:eastAsia="仿宋"/>
          <w:b w:val="0"/>
          <w:bCs/>
          <w:sz w:val="32"/>
          <w:szCs w:val="32"/>
        </w:rPr>
      </w:pPr>
      <w:r>
        <w:rPr>
          <w:rStyle w:val="15"/>
          <w:rFonts w:ascii="仿宋" w:hAnsi="仿宋" w:eastAsia="仿宋"/>
          <w:bCs/>
          <w:sz w:val="32"/>
          <w:szCs w:val="32"/>
        </w:rPr>
        <w:t>3.</w:t>
      </w:r>
      <w:r>
        <w:rPr>
          <w:rStyle w:val="15"/>
          <w:rFonts w:hint="eastAsia" w:ascii="仿宋" w:hAnsi="仿宋" w:eastAsia="仿宋"/>
          <w:bCs/>
          <w:sz w:val="32"/>
          <w:szCs w:val="32"/>
        </w:rPr>
        <w:t>公共安全支出（类）司法（款）法律援助（项）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ascii="仿宋" w:hAnsi="仿宋" w:eastAsia="仿宋"/>
          <w:b w:val="0"/>
          <w:bCs/>
          <w:sz w:val="32"/>
          <w:szCs w:val="32"/>
        </w:rPr>
        <w:t>23.59</w:t>
      </w:r>
      <w:r>
        <w:rPr>
          <w:rStyle w:val="15"/>
          <w:rFonts w:hint="eastAsia" w:ascii="仿宋" w:hAnsi="仿宋" w:eastAsia="仿宋"/>
          <w:b w:val="0"/>
          <w:bCs/>
          <w:sz w:val="32"/>
          <w:szCs w:val="32"/>
        </w:rPr>
        <w:t>万元，完成预算</w:t>
      </w:r>
      <w:r>
        <w:rPr>
          <w:rStyle w:val="15"/>
          <w:rFonts w:ascii="仿宋" w:hAnsi="仿宋" w:eastAsia="仿宋"/>
          <w:b w:val="0"/>
          <w:bCs/>
          <w:sz w:val="32"/>
          <w:szCs w:val="32"/>
        </w:rPr>
        <w:t>63.76%</w:t>
      </w:r>
      <w:r>
        <w:rPr>
          <w:rStyle w:val="15"/>
          <w:rFonts w:hint="eastAsia" w:ascii="仿宋" w:hAnsi="仿宋" w:eastAsia="仿宋"/>
          <w:b w:val="0"/>
          <w:bCs/>
          <w:sz w:val="32"/>
          <w:szCs w:val="32"/>
        </w:rPr>
        <w:t>，决算数小于预算数的主要原因是精准预算，压缩资金。</w:t>
      </w:r>
    </w:p>
    <w:p>
      <w:pPr>
        <w:spacing w:line="600" w:lineRule="exact"/>
        <w:ind w:firstLine="643" w:firstLineChars="200"/>
        <w:rPr>
          <w:rStyle w:val="15"/>
          <w:rFonts w:ascii="仿宋" w:hAnsi="仿宋" w:eastAsia="仿宋"/>
          <w:b w:val="0"/>
          <w:bCs/>
          <w:sz w:val="32"/>
          <w:szCs w:val="32"/>
        </w:rPr>
      </w:pPr>
      <w:r>
        <w:rPr>
          <w:rStyle w:val="15"/>
          <w:rFonts w:ascii="仿宋" w:hAnsi="仿宋" w:eastAsia="仿宋"/>
          <w:bCs/>
          <w:sz w:val="32"/>
          <w:szCs w:val="32"/>
        </w:rPr>
        <w:t>4.</w:t>
      </w:r>
      <w:r>
        <w:rPr>
          <w:rStyle w:val="15"/>
          <w:rFonts w:hint="eastAsia" w:ascii="仿宋" w:hAnsi="仿宋" w:eastAsia="仿宋"/>
          <w:bCs/>
          <w:sz w:val="32"/>
          <w:szCs w:val="32"/>
        </w:rPr>
        <w:t>社会保障和就业（类）行政事业单位离退休（款）机关事业单位基本养老保险缴费支出（项）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ascii="仿宋" w:hAnsi="仿宋" w:eastAsia="仿宋"/>
          <w:b w:val="0"/>
          <w:bCs/>
          <w:sz w:val="32"/>
          <w:szCs w:val="32"/>
        </w:rPr>
        <w:t>105.89</w:t>
      </w:r>
      <w:r>
        <w:rPr>
          <w:rStyle w:val="15"/>
          <w:rFonts w:hint="eastAsia" w:ascii="仿宋" w:hAnsi="仿宋" w:eastAsia="仿宋"/>
          <w:b w:val="0"/>
          <w:bCs/>
          <w:sz w:val="32"/>
          <w:szCs w:val="32"/>
        </w:rPr>
        <w:t>万元，完成预算</w:t>
      </w:r>
      <w:r>
        <w:rPr>
          <w:rStyle w:val="15"/>
          <w:rFonts w:ascii="仿宋" w:hAnsi="仿宋" w:eastAsia="仿宋"/>
          <w:b w:val="0"/>
          <w:bCs/>
          <w:sz w:val="32"/>
          <w:szCs w:val="32"/>
        </w:rPr>
        <w:t>100%</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Style w:val="15"/>
          <w:rFonts w:ascii="仿宋" w:hAnsi="仿宋" w:eastAsia="仿宋"/>
          <w:bCs/>
          <w:sz w:val="32"/>
          <w:szCs w:val="32"/>
        </w:rPr>
        <w:t>5.</w:t>
      </w:r>
      <w:r>
        <w:rPr>
          <w:rStyle w:val="15"/>
          <w:rFonts w:hint="eastAsia" w:ascii="仿宋" w:hAnsi="仿宋" w:eastAsia="仿宋"/>
          <w:bCs/>
          <w:sz w:val="32"/>
          <w:szCs w:val="32"/>
        </w:rPr>
        <w:t>社会保障和就业（类）行政事业单位离退休（款）机关事业单位职业年金缴费支出（项）</w:t>
      </w:r>
      <w:r>
        <w:rPr>
          <w:rStyle w:val="15"/>
          <w:rFonts w:hint="eastAsia" w:ascii="仿宋" w:hAnsi="仿宋" w:eastAsia="仿宋"/>
          <w:b w:val="0"/>
          <w:bCs/>
          <w:sz w:val="32"/>
          <w:szCs w:val="32"/>
        </w:rPr>
        <w:t>支出决算为</w:t>
      </w:r>
      <w:r>
        <w:rPr>
          <w:rStyle w:val="15"/>
          <w:rFonts w:ascii="仿宋" w:hAnsi="仿宋" w:eastAsia="仿宋"/>
          <w:b w:val="0"/>
          <w:bCs/>
          <w:sz w:val="32"/>
          <w:szCs w:val="32"/>
        </w:rPr>
        <w:t>12.07</w:t>
      </w:r>
      <w:r>
        <w:rPr>
          <w:rStyle w:val="15"/>
          <w:rFonts w:hint="eastAsia" w:ascii="仿宋" w:hAnsi="仿宋" w:eastAsia="仿宋"/>
          <w:b w:val="0"/>
          <w:bCs/>
          <w:sz w:val="32"/>
          <w:szCs w:val="32"/>
        </w:rPr>
        <w:t>万元，完成预算</w:t>
      </w:r>
      <w:r>
        <w:rPr>
          <w:rStyle w:val="15"/>
          <w:rFonts w:ascii="仿宋" w:hAnsi="仿宋" w:eastAsia="仿宋"/>
          <w:b w:val="0"/>
          <w:bCs/>
          <w:sz w:val="32"/>
          <w:szCs w:val="32"/>
        </w:rPr>
        <w:t>100%</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Style w:val="15"/>
          <w:rFonts w:ascii="仿宋" w:hAnsi="仿宋" w:eastAsia="仿宋"/>
          <w:bCs/>
          <w:sz w:val="32"/>
          <w:szCs w:val="32"/>
        </w:rPr>
        <w:t>6.</w:t>
      </w:r>
      <w:r>
        <w:rPr>
          <w:rStyle w:val="15"/>
          <w:rFonts w:hint="eastAsia" w:ascii="仿宋" w:hAnsi="仿宋" w:eastAsia="仿宋"/>
          <w:bCs/>
          <w:sz w:val="32"/>
          <w:szCs w:val="32"/>
        </w:rPr>
        <w:t>医疗卫生与计划生育（类）行政事业单位医疗（款）行政单位医疗（项）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ascii="仿宋" w:hAnsi="仿宋" w:eastAsia="仿宋"/>
          <w:b w:val="0"/>
          <w:bCs/>
          <w:sz w:val="32"/>
          <w:szCs w:val="32"/>
        </w:rPr>
        <w:t>30.15</w:t>
      </w:r>
      <w:r>
        <w:rPr>
          <w:rStyle w:val="15"/>
          <w:rFonts w:hint="eastAsia" w:ascii="仿宋" w:hAnsi="仿宋" w:eastAsia="仿宋"/>
          <w:b w:val="0"/>
          <w:bCs/>
          <w:sz w:val="32"/>
          <w:szCs w:val="32"/>
        </w:rPr>
        <w:t>万元，完成预算</w:t>
      </w:r>
      <w:r>
        <w:rPr>
          <w:rStyle w:val="15"/>
          <w:rFonts w:ascii="仿宋" w:hAnsi="仿宋" w:eastAsia="仿宋"/>
          <w:b w:val="0"/>
          <w:bCs/>
          <w:sz w:val="32"/>
          <w:szCs w:val="32"/>
        </w:rPr>
        <w:t>100%</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Style w:val="15"/>
          <w:rFonts w:ascii="仿宋" w:hAnsi="仿宋" w:eastAsia="仿宋"/>
          <w:bCs/>
          <w:sz w:val="32"/>
          <w:szCs w:val="32"/>
        </w:rPr>
        <w:t>7.</w:t>
      </w:r>
      <w:r>
        <w:rPr>
          <w:rStyle w:val="15"/>
          <w:rFonts w:hint="eastAsia" w:ascii="仿宋" w:hAnsi="仿宋" w:eastAsia="仿宋"/>
          <w:bCs/>
          <w:sz w:val="32"/>
          <w:szCs w:val="32"/>
        </w:rPr>
        <w:t>医疗卫生与计划生育（类）行政事业单位医疗（款）公务员医疗补助（项）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ascii="仿宋" w:hAnsi="仿宋" w:eastAsia="仿宋"/>
          <w:b w:val="0"/>
          <w:bCs/>
          <w:sz w:val="32"/>
          <w:szCs w:val="32"/>
        </w:rPr>
        <w:t>15.12</w:t>
      </w:r>
      <w:r>
        <w:rPr>
          <w:rStyle w:val="15"/>
          <w:rFonts w:hint="eastAsia" w:ascii="仿宋" w:hAnsi="仿宋" w:eastAsia="仿宋"/>
          <w:b w:val="0"/>
          <w:bCs/>
          <w:sz w:val="32"/>
          <w:szCs w:val="32"/>
        </w:rPr>
        <w:t>万元，完成预算</w:t>
      </w:r>
      <w:r>
        <w:rPr>
          <w:rStyle w:val="15"/>
          <w:rFonts w:ascii="仿宋" w:hAnsi="仿宋" w:eastAsia="仿宋"/>
          <w:b w:val="0"/>
          <w:bCs/>
          <w:sz w:val="32"/>
          <w:szCs w:val="32"/>
        </w:rPr>
        <w:t>100%</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8.</w:t>
      </w:r>
      <w:r>
        <w:rPr>
          <w:rStyle w:val="15"/>
          <w:rFonts w:hint="eastAsia" w:ascii="仿宋" w:hAnsi="仿宋" w:eastAsia="仿宋"/>
          <w:bCs/>
          <w:sz w:val="32"/>
          <w:szCs w:val="32"/>
        </w:rPr>
        <w:t>住房保障支出（类）住房改革支出（款）住房公积金（项）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ascii="仿宋" w:hAnsi="仿宋" w:eastAsia="仿宋"/>
          <w:b w:val="0"/>
          <w:bCs/>
          <w:sz w:val="32"/>
          <w:szCs w:val="32"/>
        </w:rPr>
        <w:t>92.59</w:t>
      </w:r>
      <w:r>
        <w:rPr>
          <w:rStyle w:val="15"/>
          <w:rFonts w:hint="eastAsia" w:ascii="仿宋" w:hAnsi="仿宋" w:eastAsia="仿宋"/>
          <w:b w:val="0"/>
          <w:bCs/>
          <w:sz w:val="32"/>
          <w:szCs w:val="32"/>
        </w:rPr>
        <w:t>万元，完成预算</w:t>
      </w:r>
      <w:r>
        <w:rPr>
          <w:rStyle w:val="15"/>
          <w:rFonts w:ascii="仿宋" w:hAnsi="仿宋" w:eastAsia="仿宋"/>
          <w:b w:val="0"/>
          <w:bCs/>
          <w:sz w:val="32"/>
          <w:szCs w:val="32"/>
        </w:rPr>
        <w:t>100%</w:t>
      </w:r>
      <w:r>
        <w:rPr>
          <w:rStyle w:val="15"/>
          <w:rFonts w:hint="eastAsia" w:ascii="仿宋" w:hAnsi="仿宋" w:eastAsia="仿宋"/>
          <w:b w:val="0"/>
          <w:bCs/>
          <w:sz w:val="32"/>
          <w:szCs w:val="32"/>
        </w:rPr>
        <w:t>。</w:t>
      </w:r>
    </w:p>
    <w:p>
      <w:pPr>
        <w:tabs>
          <w:tab w:val="right" w:pos="8306"/>
        </w:tabs>
        <w:spacing w:line="600" w:lineRule="exact"/>
        <w:ind w:firstLine="640"/>
        <w:outlineLvl w:val="1"/>
        <w:rPr>
          <w:rStyle w:val="18"/>
        </w:rPr>
      </w:pPr>
      <w:bookmarkStart w:id="42" w:name="_Toc29705"/>
      <w:bookmarkStart w:id="43"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8"/>
          <w:rFonts w:hint="eastAsia" w:ascii="黑体" w:hAnsi="黑体" w:eastAsia="黑体"/>
          <w:b w:val="0"/>
        </w:rPr>
        <w:t>般公共预算财政拨款基本支出决算情况说明</w:t>
      </w:r>
      <w:bookmarkEnd w:id="42"/>
      <w:bookmarkEnd w:id="43"/>
      <w:r>
        <w:rPr>
          <w:rStyle w:val="18"/>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年一般公共预算财政拨款基本支出</w:t>
      </w:r>
      <w:r>
        <w:rPr>
          <w:rFonts w:ascii="仿宋" w:hAnsi="仿宋" w:eastAsia="仿宋"/>
          <w:sz w:val="32"/>
          <w:szCs w:val="32"/>
        </w:rPr>
        <w:t>1198.92</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sz w:val="32"/>
          <w:szCs w:val="32"/>
        </w:rPr>
        <w:t>1022.08</w:t>
      </w:r>
      <w:r>
        <w:rPr>
          <w:rFonts w:hint="eastAsia" w:ascii="仿宋" w:hAnsi="仿宋" w:eastAsia="仿宋"/>
          <w:sz w:val="32"/>
          <w:szCs w:val="32"/>
        </w:rPr>
        <w:t>万元，主要包括：基本工资、津贴补贴、奖金、伙食补助费、绩效工资、机关事业单位基本养老保险费、职业年金缴费、职工基本医疗保险缴费、公务员医疗补助缴费、其他社会保障缴费、住房公积金、医疗费、其他工资福利支出、离休费、退休费、退职（役）费、抚恤金、生活补助、救济费、医疗费补助、助学金、奖励金、个人农业生产补贴、其他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sz w:val="32"/>
          <w:szCs w:val="32"/>
        </w:rPr>
        <w:t>176.84</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外债务付息、国内债务发行费用、国外债务发行费用、房屋建筑物购建、办公设备购置、专用设备购置、基础设施建设、大型修缮、信息网络及软件购置更新、物资储备、土地补偿、安置补助、地上附着物和青苗补偿、拆迁补偿、公务用车购置、其他交通工具购置、文物和陈列品购置、无形资产购置、对企业补助、资本金注入、政府投资基金股权投资、费用补贴、利息补贴、其他对企业补助、赠与、国家赔偿费用支出、对民间非营利组织和群众性自治组织补贴、其他支出等。</w:t>
      </w:r>
    </w:p>
    <w:p>
      <w:pPr>
        <w:spacing w:line="600" w:lineRule="exact"/>
        <w:ind w:firstLine="640"/>
        <w:outlineLvl w:val="1"/>
        <w:rPr>
          <w:rStyle w:val="18"/>
          <w:rFonts w:ascii="黑体" w:hAnsi="黑体" w:eastAsia="黑体"/>
          <w:b w:val="0"/>
        </w:rPr>
      </w:pPr>
      <w:bookmarkStart w:id="44" w:name="_Toc4756"/>
      <w:bookmarkStart w:id="45" w:name="_Toc15377215"/>
      <w:r>
        <w:rPr>
          <w:rFonts w:hint="eastAsia" w:ascii="黑体" w:eastAsia="黑体"/>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4"/>
      <w:bookmarkEnd w:id="45"/>
    </w:p>
    <w:p>
      <w:pPr>
        <w:spacing w:line="600" w:lineRule="exact"/>
        <w:ind w:firstLine="640"/>
        <w:outlineLvl w:val="2"/>
        <w:rPr>
          <w:rFonts w:ascii="仿宋" w:hAnsi="仿宋" w:eastAsia="仿宋"/>
          <w:b/>
          <w:sz w:val="32"/>
          <w:szCs w:val="32"/>
        </w:rPr>
      </w:pPr>
      <w:bookmarkStart w:id="46" w:name="_Toc15377216"/>
      <w:r>
        <w:rPr>
          <w:rFonts w:hint="eastAsia" w:ascii="仿宋" w:hAnsi="仿宋" w:eastAsia="仿宋"/>
          <w:b/>
          <w:sz w:val="32"/>
          <w:szCs w:val="32"/>
        </w:rPr>
        <w:t>（一）“三公”经费财政拨款支出决算总体情况说明</w:t>
      </w:r>
      <w:bookmarkEnd w:id="46"/>
    </w:p>
    <w:p>
      <w:pPr>
        <w:spacing w:line="600" w:lineRule="exact"/>
        <w:ind w:firstLine="64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年“三公”经费财政拨款支出决算为</w:t>
      </w:r>
      <w:r>
        <w:rPr>
          <w:rFonts w:ascii="仿宋" w:hAnsi="仿宋" w:eastAsia="仿宋"/>
          <w:sz w:val="32"/>
          <w:szCs w:val="32"/>
        </w:rPr>
        <w:t>11.46</w:t>
      </w:r>
      <w:r>
        <w:rPr>
          <w:rFonts w:hint="eastAsia" w:ascii="仿宋" w:hAnsi="仿宋" w:eastAsia="仿宋"/>
          <w:sz w:val="32"/>
          <w:szCs w:val="32"/>
        </w:rPr>
        <w:t>万元，完成预算</w:t>
      </w:r>
      <w:r>
        <w:rPr>
          <w:rFonts w:ascii="仿宋" w:hAnsi="仿宋" w:eastAsia="仿宋"/>
          <w:sz w:val="32"/>
          <w:szCs w:val="32"/>
        </w:rPr>
        <w:t>22.48%</w:t>
      </w:r>
      <w:r>
        <w:rPr>
          <w:rFonts w:hint="eastAsia" w:ascii="仿宋" w:hAnsi="仿宋" w:eastAsia="仿宋"/>
          <w:sz w:val="32"/>
          <w:szCs w:val="32"/>
        </w:rPr>
        <w:t>，决算数小于预算数的</w:t>
      </w:r>
      <w:r>
        <w:rPr>
          <w:rFonts w:ascii="??_GB2312" w:eastAsia="Times New Roman"/>
          <w:sz w:val="32"/>
          <w:szCs w:val="32"/>
        </w:rPr>
        <w:t>主要原因是严格执行</w:t>
      </w:r>
      <w:r>
        <w:rPr>
          <w:rFonts w:hint="eastAsia" w:ascii="??_GB2312"/>
          <w:sz w:val="32"/>
          <w:szCs w:val="32"/>
          <w:lang w:eastAsia="zh-CN"/>
        </w:rPr>
        <w:t>中央八项规定</w:t>
      </w:r>
      <w:r>
        <w:rPr>
          <w:rFonts w:ascii="??_GB2312" w:eastAsia="Times New Roman"/>
          <w:sz w:val="32"/>
          <w:szCs w:val="32"/>
        </w:rPr>
        <w:t>，厉行节约。</w:t>
      </w:r>
    </w:p>
    <w:p>
      <w:pPr>
        <w:spacing w:line="600" w:lineRule="exact"/>
        <w:ind w:firstLine="640"/>
        <w:outlineLvl w:val="2"/>
        <w:rPr>
          <w:rFonts w:ascii="仿宋" w:hAnsi="仿宋" w:eastAsia="仿宋"/>
          <w:b/>
          <w:sz w:val="32"/>
          <w:szCs w:val="32"/>
        </w:rPr>
      </w:pPr>
      <w:bookmarkStart w:id="47" w:name="_Toc15377217"/>
      <w:r>
        <w:rPr>
          <w:rFonts w:hint="eastAsia" w:ascii="仿宋" w:hAnsi="仿宋" w:eastAsia="仿宋"/>
          <w:b/>
          <w:sz w:val="32"/>
          <w:szCs w:val="32"/>
        </w:rPr>
        <w:t>（二）“三公”经费财政拨款支出决算具体情况说明</w:t>
      </w:r>
      <w:bookmarkEnd w:id="47"/>
    </w:p>
    <w:p>
      <w:pPr>
        <w:spacing w:line="600" w:lineRule="exact"/>
        <w:ind w:firstLine="64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w:t>
      </w:r>
      <w:r>
        <w:rPr>
          <w:rFonts w:ascii="仿宋" w:hAnsi="仿宋" w:eastAsia="仿宋"/>
          <w:sz w:val="32"/>
          <w:szCs w:val="32"/>
        </w:rPr>
        <w:t>10.16</w:t>
      </w:r>
      <w:r>
        <w:rPr>
          <w:rFonts w:hint="eastAsia" w:ascii="仿宋" w:hAnsi="仿宋" w:eastAsia="仿宋"/>
          <w:sz w:val="32"/>
          <w:szCs w:val="32"/>
        </w:rPr>
        <w:t>万元，占</w:t>
      </w:r>
      <w:r>
        <w:rPr>
          <w:rFonts w:ascii="仿宋" w:hAnsi="仿宋" w:eastAsia="仿宋"/>
          <w:sz w:val="32"/>
          <w:szCs w:val="32"/>
        </w:rPr>
        <w:t>88.66%</w:t>
      </w:r>
      <w:r>
        <w:rPr>
          <w:rFonts w:hint="eastAsia" w:ascii="仿宋" w:hAnsi="仿宋" w:eastAsia="仿宋"/>
          <w:sz w:val="32"/>
          <w:szCs w:val="32"/>
        </w:rPr>
        <w:t>；公务接待费支出决算</w:t>
      </w:r>
      <w:r>
        <w:rPr>
          <w:rFonts w:ascii="仿宋" w:hAnsi="仿宋" w:eastAsia="仿宋"/>
          <w:sz w:val="32"/>
          <w:szCs w:val="32"/>
        </w:rPr>
        <w:t>1.3</w:t>
      </w:r>
      <w:r>
        <w:rPr>
          <w:rFonts w:hint="eastAsia" w:ascii="仿宋" w:hAnsi="仿宋" w:eastAsia="仿宋"/>
          <w:sz w:val="32"/>
          <w:szCs w:val="32"/>
        </w:rPr>
        <w:t>万元，占</w:t>
      </w:r>
      <w:r>
        <w:rPr>
          <w:rFonts w:ascii="仿宋" w:hAnsi="仿宋" w:eastAsia="仿宋"/>
          <w:sz w:val="32"/>
          <w:szCs w:val="32"/>
        </w:rPr>
        <w:t>11.34%</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drawing>
          <wp:anchor distT="0" distB="635" distL="114300" distR="114300" simplePos="0" relativeHeight="251665408" behindDoc="0" locked="0" layoutInCell="1" allowOverlap="1">
            <wp:simplePos x="0" y="0"/>
            <wp:positionH relativeFrom="column">
              <wp:posOffset>471170</wp:posOffset>
            </wp:positionH>
            <wp:positionV relativeFrom="paragraph">
              <wp:posOffset>36195</wp:posOffset>
            </wp:positionV>
            <wp:extent cx="4255135" cy="2395855"/>
            <wp:effectExtent l="0" t="0" r="12065" b="4445"/>
            <wp:wrapSquare wrapText="bothSides"/>
            <wp:docPr id="7" name="图表 6"/>
            <wp:cNvGraphicFramePr/>
            <a:graphic xmlns:a="http://schemas.openxmlformats.org/drawingml/2006/main">
              <a:graphicData uri="http://schemas.openxmlformats.org/drawingml/2006/picture">
                <pic:pic xmlns:pic="http://schemas.openxmlformats.org/drawingml/2006/picture">
                  <pic:nvPicPr>
                    <pic:cNvPr id="7" name="图表 6"/>
                    <pic:cNvPicPr/>
                  </pic:nvPicPr>
                  <pic:blipFill>
                    <a:blip r:embed="rId12"/>
                    <a:stretch>
                      <a:fillRect/>
                    </a:stretch>
                  </pic:blipFill>
                  <pic:spPr>
                    <a:xfrm>
                      <a:off x="0" y="0"/>
                      <a:ext cx="4255135" cy="2395855"/>
                    </a:xfrm>
                    <a:prstGeom prst="rect">
                      <a:avLst/>
                    </a:prstGeom>
                    <a:noFill/>
                    <a:ln>
                      <a:noFill/>
                    </a:ln>
                  </pic:spPr>
                </pic:pic>
              </a:graphicData>
            </a:graphic>
          </wp:anchor>
        </w:drawing>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8</w:t>
      </w:r>
      <w:r>
        <w:rPr>
          <w:rFonts w:hint="eastAsia" w:ascii="仿宋" w:hAnsi="仿宋" w:eastAsia="仿宋"/>
          <w:sz w:val="32"/>
          <w:szCs w:val="32"/>
        </w:rPr>
        <w:t>：“三公”经费财政拨款支出结构）</w:t>
      </w:r>
    </w:p>
    <w:p>
      <w:pPr>
        <w:spacing w:line="600" w:lineRule="exact"/>
        <w:ind w:firstLine="640"/>
        <w:rPr>
          <w:rFonts w:ascii="仿宋" w:hAnsi="仿宋" w:eastAsia="仿宋"/>
          <w:sz w:val="32"/>
          <w:szCs w:val="32"/>
        </w:rPr>
      </w:pPr>
    </w:p>
    <w:p>
      <w:pPr>
        <w:spacing w:line="600" w:lineRule="exact"/>
        <w:ind w:firstLine="640"/>
        <w:rPr>
          <w:rFonts w:ascii="??_GB2312" w:eastAsia="Times New Roman"/>
          <w:b/>
          <w:sz w:val="32"/>
          <w:szCs w:val="32"/>
        </w:rPr>
      </w:pPr>
      <w:r>
        <w:rPr>
          <w:rFonts w:ascii="??_GB2312" w:eastAsia="Times New Roman"/>
          <w:b/>
          <w:sz w:val="32"/>
          <w:szCs w:val="32"/>
        </w:rPr>
        <w:t>1.因公出国（境）经费支出</w:t>
      </w:r>
      <w:r>
        <w:rPr>
          <w:rFonts w:ascii="??_GB2312" w:eastAsia="Times New Roman"/>
          <w:sz w:val="32"/>
          <w:szCs w:val="32"/>
        </w:rPr>
        <w:t>0万元，</w:t>
      </w:r>
      <w:r>
        <w:rPr>
          <w:rStyle w:val="15"/>
          <w:rFonts w:hint="eastAsia" w:ascii="仿宋" w:hAnsi="仿宋" w:eastAsia="仿宋"/>
          <w:b w:val="0"/>
          <w:bCs/>
          <w:sz w:val="32"/>
          <w:szCs w:val="32"/>
        </w:rPr>
        <w:t>完成预算</w:t>
      </w:r>
      <w:r>
        <w:rPr>
          <w:rStyle w:val="15"/>
          <w:rFonts w:ascii="仿宋" w:hAnsi="仿宋" w:eastAsia="仿宋"/>
          <w:b w:val="0"/>
          <w:bCs/>
          <w:sz w:val="32"/>
          <w:szCs w:val="32"/>
        </w:rPr>
        <w:t>0%</w:t>
      </w:r>
      <w:r>
        <w:rPr>
          <w:rStyle w:val="15"/>
          <w:rFonts w:hint="eastAsia" w:ascii="仿宋" w:hAnsi="仿宋" w:eastAsia="仿宋"/>
          <w:b w:val="0"/>
          <w:bCs/>
          <w:sz w:val="32"/>
          <w:szCs w:val="32"/>
        </w:rPr>
        <w:t>。</w:t>
      </w:r>
      <w:r>
        <w:rPr>
          <w:rFonts w:ascii="??_GB2312" w:eastAsia="Times New Roman"/>
          <w:sz w:val="32"/>
          <w:szCs w:val="32"/>
        </w:rPr>
        <w:t>全年安排因公出国（境）团组0次，出国（境）0人。因公出国（境）支出决算比2017年增加/减少0万元，增长/下降0%。</w:t>
      </w:r>
    </w:p>
    <w:p>
      <w:pPr>
        <w:spacing w:line="600" w:lineRule="exact"/>
        <w:ind w:firstLine="640"/>
        <w:rPr>
          <w:rFonts w:ascii="??_GB2312" w:eastAsia="Times New Roman"/>
          <w:b/>
          <w:sz w:val="32"/>
          <w:szCs w:val="32"/>
        </w:rPr>
      </w:pPr>
      <w:r>
        <w:rPr>
          <w:rFonts w:ascii="??_GB2312" w:eastAsia="Times New Roman"/>
          <w:b/>
          <w:sz w:val="32"/>
          <w:szCs w:val="32"/>
        </w:rPr>
        <w:t>2.公务用车购置及运行维护费支出</w:t>
      </w:r>
      <w:r>
        <w:rPr>
          <w:rFonts w:ascii="??_GB2312" w:eastAsia="Times New Roman"/>
          <w:sz w:val="32"/>
          <w:szCs w:val="32"/>
        </w:rPr>
        <w:t>10.16万元,</w:t>
      </w:r>
      <w:r>
        <w:rPr>
          <w:rStyle w:val="15"/>
          <w:rFonts w:hint="eastAsia" w:ascii="仿宋" w:hAnsi="仿宋" w:eastAsia="仿宋"/>
          <w:b w:val="0"/>
          <w:bCs/>
          <w:sz w:val="32"/>
          <w:szCs w:val="32"/>
        </w:rPr>
        <w:t>完成预算</w:t>
      </w:r>
      <w:r>
        <w:rPr>
          <w:rStyle w:val="15"/>
          <w:rFonts w:ascii="仿宋" w:hAnsi="仿宋" w:eastAsia="仿宋"/>
          <w:b w:val="0"/>
          <w:bCs/>
          <w:sz w:val="32"/>
          <w:szCs w:val="32"/>
        </w:rPr>
        <w:t>20.83%</w:t>
      </w:r>
      <w:r>
        <w:rPr>
          <w:rStyle w:val="15"/>
          <w:rFonts w:hint="eastAsia" w:ascii="仿宋" w:hAnsi="仿宋" w:eastAsia="仿宋"/>
          <w:b w:val="0"/>
          <w:bCs/>
          <w:sz w:val="32"/>
          <w:szCs w:val="32"/>
        </w:rPr>
        <w:t>。</w:t>
      </w:r>
      <w:r>
        <w:rPr>
          <w:rFonts w:ascii="??_GB2312" w:eastAsia="Times New Roman"/>
          <w:sz w:val="32"/>
          <w:szCs w:val="32"/>
        </w:rPr>
        <w:t>公务用车购置及运行维护费支出决算比2017年减少0.59万元，下降5.48%。主要原因是严格执行</w:t>
      </w:r>
      <w:r>
        <w:rPr>
          <w:rFonts w:hint="eastAsia" w:ascii="??_GB2312"/>
          <w:sz w:val="32"/>
          <w:szCs w:val="32"/>
          <w:lang w:eastAsia="zh-CN"/>
        </w:rPr>
        <w:t>中央八项规定</w:t>
      </w:r>
      <w:r>
        <w:rPr>
          <w:rFonts w:ascii="??_GB2312" w:eastAsia="Times New Roman"/>
          <w:sz w:val="32"/>
          <w:szCs w:val="32"/>
        </w:rPr>
        <w:t>，厉行节约。</w:t>
      </w:r>
    </w:p>
    <w:p>
      <w:pPr>
        <w:spacing w:line="600" w:lineRule="exact"/>
        <w:ind w:firstLine="640" w:firstLineChars="200"/>
        <w:rPr>
          <w:rFonts w:ascii="??_GB2312" w:eastAsia="Times New Roman"/>
          <w:b/>
          <w:sz w:val="32"/>
          <w:szCs w:val="32"/>
        </w:rPr>
      </w:pPr>
      <w:r>
        <w:rPr>
          <w:rFonts w:ascii="??_GB2312" w:eastAsia="Times New Roman"/>
          <w:sz w:val="32"/>
          <w:szCs w:val="32"/>
        </w:rPr>
        <w:t>其中：</w:t>
      </w:r>
      <w:r>
        <w:rPr>
          <w:rFonts w:ascii="??_GB2312" w:eastAsia="Times New Roman"/>
          <w:b/>
          <w:sz w:val="32"/>
          <w:szCs w:val="32"/>
        </w:rPr>
        <w:t>公务用车购置支出</w:t>
      </w:r>
      <w:r>
        <w:rPr>
          <w:rFonts w:ascii="??_GB2312" w:eastAsia="Times New Roman"/>
          <w:sz w:val="32"/>
          <w:szCs w:val="32"/>
        </w:rPr>
        <w:t>万元。全年按规定更新购置公务用车0辆，其中：轿车0辆、金额0万元，越野车0辆、金额0万元，载客汽车0辆、金额0万元。截至2018年12月底，单位共有公务用车4辆，其中：轿车4辆、越野车0辆、载客汽车0辆。</w:t>
      </w:r>
    </w:p>
    <w:p>
      <w:pPr>
        <w:spacing w:line="600" w:lineRule="exact"/>
        <w:ind w:firstLine="640"/>
        <w:rPr>
          <w:rFonts w:ascii="??_GB2312" w:eastAsia="Times New Roman"/>
          <w:sz w:val="32"/>
          <w:szCs w:val="32"/>
        </w:rPr>
      </w:pPr>
      <w:r>
        <w:rPr>
          <w:rFonts w:ascii="??_GB2312" w:eastAsia="Times New Roman"/>
          <w:b/>
          <w:sz w:val="32"/>
          <w:szCs w:val="32"/>
        </w:rPr>
        <w:t>公务用车运行维护费支出</w:t>
      </w:r>
      <w:r>
        <w:rPr>
          <w:rFonts w:ascii="??_GB2312" w:eastAsia="Times New Roman"/>
          <w:sz w:val="32"/>
          <w:szCs w:val="32"/>
        </w:rPr>
        <w:t>10.16万元。主要用于办公执法等所需的公务用车燃料费、维修费、过路过桥费、保险费等支出。</w:t>
      </w:r>
    </w:p>
    <w:p>
      <w:pPr>
        <w:spacing w:line="600" w:lineRule="exact"/>
        <w:ind w:firstLine="640"/>
        <w:rPr>
          <w:rFonts w:ascii="??_GB2312" w:eastAsia="Times New Roman"/>
          <w:sz w:val="32"/>
          <w:szCs w:val="32"/>
        </w:rPr>
      </w:pPr>
      <w:r>
        <w:rPr>
          <w:rFonts w:ascii="??_GB2312" w:eastAsia="Times New Roman"/>
          <w:b/>
          <w:sz w:val="32"/>
          <w:szCs w:val="32"/>
        </w:rPr>
        <w:t>3.公务接待费支出</w:t>
      </w:r>
      <w:r>
        <w:rPr>
          <w:rFonts w:ascii="??_GB2312" w:eastAsia="Times New Roman"/>
          <w:sz w:val="32"/>
          <w:szCs w:val="32"/>
        </w:rPr>
        <w:t>1.3万元，</w:t>
      </w:r>
      <w:r>
        <w:rPr>
          <w:rStyle w:val="15"/>
          <w:rFonts w:hint="eastAsia" w:ascii="仿宋" w:hAnsi="仿宋" w:eastAsia="仿宋"/>
          <w:b w:val="0"/>
          <w:bCs/>
          <w:sz w:val="32"/>
          <w:szCs w:val="32"/>
        </w:rPr>
        <w:t>完成预算</w:t>
      </w:r>
      <w:r>
        <w:rPr>
          <w:rStyle w:val="15"/>
          <w:rFonts w:ascii="仿宋" w:hAnsi="仿宋" w:eastAsia="仿宋"/>
          <w:b w:val="0"/>
          <w:bCs/>
          <w:sz w:val="32"/>
          <w:szCs w:val="32"/>
        </w:rPr>
        <w:t>59.1%</w:t>
      </w:r>
      <w:r>
        <w:rPr>
          <w:rStyle w:val="15"/>
          <w:rFonts w:hint="eastAsia" w:ascii="仿宋" w:hAnsi="仿宋" w:eastAsia="仿宋"/>
          <w:b w:val="0"/>
          <w:bCs/>
          <w:sz w:val="32"/>
          <w:szCs w:val="32"/>
        </w:rPr>
        <w:t>。</w:t>
      </w:r>
      <w:r>
        <w:rPr>
          <w:rFonts w:ascii="??_GB2312" w:eastAsia="Times New Roman"/>
          <w:sz w:val="32"/>
          <w:szCs w:val="32"/>
        </w:rPr>
        <w:t>公务接待费支出决算比2017年减少0.4万元，下降23.53%。主要原因是严格执行</w:t>
      </w:r>
      <w:r>
        <w:rPr>
          <w:rFonts w:hint="eastAsia" w:ascii="??_GB2312"/>
          <w:sz w:val="32"/>
          <w:szCs w:val="32"/>
          <w:lang w:eastAsia="zh-CN"/>
        </w:rPr>
        <w:t>中央八项规定</w:t>
      </w:r>
      <w:r>
        <w:rPr>
          <w:rFonts w:ascii="??_GB2312" w:eastAsia="Times New Roman"/>
          <w:sz w:val="32"/>
          <w:szCs w:val="32"/>
        </w:rPr>
        <w:t>，厉行节约。</w:t>
      </w:r>
    </w:p>
    <w:p>
      <w:pPr>
        <w:spacing w:line="600" w:lineRule="exact"/>
        <w:ind w:firstLine="640" w:firstLineChars="200"/>
        <w:rPr>
          <w:rFonts w:ascii="??_GB2312" w:eastAsia="Times New Roman"/>
          <w:sz w:val="32"/>
          <w:szCs w:val="32"/>
        </w:rPr>
      </w:pPr>
      <w:r>
        <w:rPr>
          <w:rFonts w:ascii="??_GB2312" w:eastAsia="Times New Roman"/>
          <w:sz w:val="32"/>
          <w:szCs w:val="32"/>
        </w:rPr>
        <w:t>主要用于执行公务、开展业务活动开支的交通费、住宿费、用餐费等。国内公务接待35批次，216人次（不包括陪同人员），共计支出1.3万元，具体内容包括</w:t>
      </w:r>
      <w:r>
        <w:rPr>
          <w:rFonts w:ascii="??_GB2312" w:eastAsia="Times New Roman"/>
          <w:color w:val="FFFF00"/>
          <w:sz w:val="32"/>
          <w:szCs w:val="32"/>
        </w:rPr>
        <w:t>：</w:t>
      </w:r>
      <w:r>
        <w:rPr>
          <w:rFonts w:hint="eastAsia" w:ascii="??_GB2312"/>
          <w:sz w:val="32"/>
          <w:szCs w:val="32"/>
        </w:rPr>
        <w:t>普法工作接待费</w:t>
      </w:r>
      <w:r>
        <w:rPr>
          <w:rFonts w:ascii="??_GB2312"/>
          <w:sz w:val="32"/>
          <w:szCs w:val="32"/>
        </w:rPr>
        <w:t>0.43</w:t>
      </w:r>
      <w:r>
        <w:rPr>
          <w:rFonts w:hint="eastAsia" w:ascii="??_GB2312"/>
          <w:sz w:val="32"/>
          <w:szCs w:val="32"/>
        </w:rPr>
        <w:t>万元，社区矫正接待费</w:t>
      </w:r>
      <w:r>
        <w:rPr>
          <w:rFonts w:ascii="??_GB2312"/>
          <w:sz w:val="32"/>
          <w:szCs w:val="32"/>
        </w:rPr>
        <w:t>0.52</w:t>
      </w:r>
      <w:r>
        <w:rPr>
          <w:rFonts w:hint="eastAsia" w:ascii="??_GB2312"/>
          <w:sz w:val="32"/>
          <w:szCs w:val="32"/>
        </w:rPr>
        <w:t>万元，法律援助接待费</w:t>
      </w:r>
      <w:r>
        <w:rPr>
          <w:rFonts w:ascii="??_GB2312"/>
          <w:sz w:val="32"/>
          <w:szCs w:val="32"/>
        </w:rPr>
        <w:t>0.20</w:t>
      </w:r>
      <w:r>
        <w:rPr>
          <w:rFonts w:hint="eastAsia" w:ascii="??_GB2312"/>
          <w:sz w:val="32"/>
          <w:szCs w:val="32"/>
        </w:rPr>
        <w:t>万元，人民调解接待费</w:t>
      </w:r>
      <w:r>
        <w:rPr>
          <w:rFonts w:ascii="??_GB2312"/>
          <w:sz w:val="32"/>
          <w:szCs w:val="32"/>
        </w:rPr>
        <w:t>0.15</w:t>
      </w:r>
      <w:r>
        <w:rPr>
          <w:rFonts w:hint="eastAsia" w:ascii="??_GB2312"/>
          <w:sz w:val="32"/>
          <w:szCs w:val="32"/>
        </w:rPr>
        <w:t>万元。</w:t>
      </w:r>
    </w:p>
    <w:p>
      <w:pPr>
        <w:spacing w:line="600" w:lineRule="exact"/>
        <w:ind w:firstLine="643" w:firstLineChars="200"/>
        <w:rPr>
          <w:rFonts w:ascii="??_GB2312" w:eastAsia="Times New Roman"/>
          <w:sz w:val="32"/>
          <w:szCs w:val="32"/>
        </w:rPr>
      </w:pPr>
      <w:r>
        <w:rPr>
          <w:rFonts w:hint="eastAsia" w:ascii="仿宋" w:hAnsi="仿宋" w:eastAsia="仿宋"/>
          <w:b/>
          <w:sz w:val="32"/>
          <w:szCs w:val="32"/>
        </w:rPr>
        <w:t>外事接待支出</w:t>
      </w:r>
      <w:r>
        <w:rPr>
          <w:rFonts w:ascii="仿宋" w:hAnsi="仿宋" w:eastAsia="仿宋"/>
          <w:sz w:val="32"/>
          <w:szCs w:val="32"/>
        </w:rPr>
        <w:t>0</w:t>
      </w:r>
      <w:r>
        <w:rPr>
          <w:rFonts w:ascii="??_GB2312" w:eastAsia="Times New Roman"/>
          <w:sz w:val="32"/>
          <w:szCs w:val="32"/>
        </w:rPr>
        <w:t>万元，外事接待0批次，0人，共计支出0万元。</w:t>
      </w:r>
    </w:p>
    <w:p>
      <w:pPr>
        <w:spacing w:line="600" w:lineRule="exact"/>
        <w:ind w:firstLine="640"/>
        <w:rPr>
          <w:rFonts w:ascii="黑体" w:eastAsia="黑体"/>
          <w:sz w:val="32"/>
          <w:szCs w:val="32"/>
        </w:rPr>
      </w:pPr>
      <w:r>
        <w:rPr>
          <w:rFonts w:hint="eastAsia" w:ascii="仿宋" w:hAnsi="仿宋" w:eastAsia="仿宋"/>
          <w:b/>
          <w:sz w:val="32"/>
          <w:szCs w:val="32"/>
        </w:rPr>
        <w:t>其他国内公务接待支出</w:t>
      </w:r>
      <w:r>
        <w:rPr>
          <w:rFonts w:ascii="仿宋" w:hAnsi="仿宋" w:eastAsia="仿宋"/>
          <w:sz w:val="32"/>
          <w:szCs w:val="32"/>
        </w:rPr>
        <w:t>0</w:t>
      </w:r>
      <w:r>
        <w:rPr>
          <w:rFonts w:ascii="??_GB2312" w:eastAsia="Times New Roman"/>
          <w:sz w:val="32"/>
          <w:szCs w:val="32"/>
        </w:rPr>
        <w:t>万元。</w:t>
      </w:r>
      <w:bookmarkStart w:id="48" w:name="_Toc15377218"/>
    </w:p>
    <w:p>
      <w:pPr>
        <w:spacing w:line="600" w:lineRule="exact"/>
        <w:ind w:firstLine="640"/>
        <w:outlineLvl w:val="1"/>
        <w:rPr>
          <w:rStyle w:val="18"/>
          <w:rFonts w:ascii="黑体" w:hAnsi="黑体" w:eastAsia="黑体"/>
        </w:rPr>
      </w:pPr>
      <w:bookmarkStart w:id="49" w:name="_Toc4539"/>
      <w:r>
        <w:rPr>
          <w:rFonts w:hint="eastAsia" w:ascii="黑体" w:eastAsia="黑体"/>
          <w:sz w:val="32"/>
          <w:szCs w:val="32"/>
        </w:rPr>
        <w:t>八、</w:t>
      </w:r>
      <w:r>
        <w:rPr>
          <w:rStyle w:val="18"/>
          <w:rFonts w:hint="eastAsia" w:ascii="黑体" w:hAnsi="黑体" w:eastAsia="黑体"/>
          <w:b w:val="0"/>
        </w:rPr>
        <w:t>政府性基金预算支出决算情况说明</w:t>
      </w:r>
      <w:bookmarkEnd w:id="48"/>
      <w:bookmarkEnd w:id="49"/>
    </w:p>
    <w:p>
      <w:pPr>
        <w:spacing w:line="600" w:lineRule="exact"/>
        <w:ind w:firstLine="640"/>
        <w:rPr>
          <w:rFonts w:ascii="??_GB2312" w:eastAsia="Times New Roman"/>
          <w:sz w:val="32"/>
          <w:szCs w:val="32"/>
        </w:rPr>
      </w:pPr>
      <w:r>
        <w:rPr>
          <w:rFonts w:ascii="??_GB2312" w:eastAsia="Times New Roman"/>
          <w:sz w:val="32"/>
          <w:szCs w:val="32"/>
        </w:rPr>
        <w:t>2018年政府性基金预算拨款支出0万元。</w:t>
      </w:r>
    </w:p>
    <w:p>
      <w:pPr>
        <w:numPr>
          <w:ilvl w:val="0"/>
          <w:numId w:val="2"/>
        </w:numPr>
        <w:spacing w:line="600" w:lineRule="exact"/>
        <w:ind w:firstLine="640"/>
        <w:outlineLvl w:val="1"/>
        <w:rPr>
          <w:rStyle w:val="18"/>
          <w:rFonts w:ascii="黑体" w:hAnsi="黑体" w:eastAsia="黑体"/>
          <w:b w:val="0"/>
        </w:rPr>
      </w:pPr>
      <w:bookmarkStart w:id="50" w:name="_Toc5156"/>
      <w:bookmarkStart w:id="51" w:name="_Toc15377219"/>
      <w:r>
        <w:rPr>
          <w:rStyle w:val="18"/>
          <w:rFonts w:hint="eastAsia" w:ascii="黑体" w:hAnsi="黑体" w:eastAsia="黑体"/>
          <w:b w:val="0"/>
        </w:rPr>
        <w:t>国有资本经营预算支出决算情况说明</w:t>
      </w:r>
      <w:bookmarkEnd w:id="50"/>
      <w:bookmarkEnd w:id="51"/>
    </w:p>
    <w:p>
      <w:pPr>
        <w:spacing w:line="600" w:lineRule="exact"/>
        <w:ind w:firstLine="640"/>
        <w:rPr>
          <w:rFonts w:ascii="??_GB2312" w:eastAsia="Times New Roman"/>
          <w:sz w:val="32"/>
          <w:szCs w:val="32"/>
        </w:rPr>
      </w:pPr>
      <w:r>
        <w:rPr>
          <w:rFonts w:ascii="??_GB2312" w:eastAsia="Times New Roman"/>
          <w:sz w:val="32"/>
          <w:szCs w:val="32"/>
        </w:rPr>
        <w:t>2018年国有资本经营预算拨款支出0万元。</w:t>
      </w:r>
    </w:p>
    <w:p>
      <w:pPr>
        <w:pStyle w:val="28"/>
        <w:numPr>
          <w:ilvl w:val="0"/>
          <w:numId w:val="3"/>
        </w:numPr>
        <w:spacing w:line="580" w:lineRule="exact"/>
        <w:ind w:firstLineChars="0"/>
        <w:rPr>
          <w:rStyle w:val="18"/>
          <w:rFonts w:ascii="黑体" w:hAnsi="黑体" w:eastAsia="黑体"/>
          <w:b w:val="0"/>
        </w:rPr>
      </w:pPr>
      <w:bookmarkStart w:id="52" w:name="_Toc7362"/>
      <w:r>
        <w:rPr>
          <w:rStyle w:val="18"/>
          <w:rFonts w:hint="eastAsia" w:ascii="黑体" w:hAnsi="黑体" w:eastAsia="黑体"/>
          <w:b w:val="0"/>
        </w:rPr>
        <w:t>预算绩效情况说明</w:t>
      </w:r>
    </w:p>
    <w:bookmarkEnd w:id="52"/>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_GB2312" w:hAnsi="??_GB2312" w:eastAsia="Times New Roman" w:cs="??_GB2312"/>
          <w:sz w:val="32"/>
          <w:szCs w:val="32"/>
        </w:rPr>
      </w:pPr>
      <w:r>
        <w:rPr>
          <w:rFonts w:hint="eastAsia" w:ascii="宋体" w:hAnsi="宋体" w:cs="宋体"/>
          <w:sz w:val="32"/>
          <w:szCs w:val="32"/>
        </w:rPr>
        <w:t>根据预算绩效管理要求，本部门（单位）在年初预算编制阶段，组织对</w:t>
      </w:r>
      <w:r>
        <w:rPr>
          <w:rFonts w:ascii="??_GB2312" w:hAnsi="??_GB2312" w:eastAsia="Times New Roman" w:cs="??_GB2312"/>
          <w:sz w:val="32"/>
          <w:szCs w:val="32"/>
        </w:rPr>
        <w:t>0</w:t>
      </w:r>
      <w:r>
        <w:rPr>
          <w:rFonts w:hint="eastAsia" w:ascii="宋体" w:hAnsi="宋体" w:cs="宋体"/>
          <w:sz w:val="32"/>
          <w:szCs w:val="32"/>
        </w:rPr>
        <w:t>项目开展了预算事前绩效评估，对</w:t>
      </w:r>
      <w:r>
        <w:rPr>
          <w:rFonts w:ascii="??_GB2312" w:hAnsi="??_GB2312" w:eastAsia="Times New Roman" w:cs="??_GB2312"/>
          <w:sz w:val="32"/>
          <w:szCs w:val="32"/>
        </w:rPr>
        <w:t>0</w:t>
      </w:r>
      <w:r>
        <w:rPr>
          <w:rFonts w:hint="eastAsia" w:ascii="宋体" w:hAnsi="宋体" w:cs="宋体"/>
          <w:sz w:val="32"/>
          <w:szCs w:val="32"/>
        </w:rPr>
        <w:t>个项目编制了绩效目标，预算执行过程中，选取</w:t>
      </w:r>
      <w:r>
        <w:rPr>
          <w:rFonts w:ascii="??_GB2312" w:hAnsi="??_GB2312" w:eastAsia="Times New Roman" w:cs="??_GB2312"/>
          <w:sz w:val="32"/>
          <w:szCs w:val="32"/>
        </w:rPr>
        <w:t>0</w:t>
      </w:r>
      <w:r>
        <w:rPr>
          <w:rFonts w:hint="eastAsia" w:ascii="宋体" w:hAnsi="宋体" w:cs="宋体"/>
          <w:sz w:val="32"/>
          <w:szCs w:val="32"/>
        </w:rPr>
        <w:t>个项目开展绩效监控，年终执行完毕后，对</w:t>
      </w:r>
      <w:r>
        <w:rPr>
          <w:rFonts w:ascii="??_GB2312" w:hAnsi="??_GB2312" w:eastAsia="Times New Roman" w:cs="??_GB2312"/>
          <w:sz w:val="32"/>
          <w:szCs w:val="32"/>
        </w:rPr>
        <w:t>0</w:t>
      </w:r>
      <w:r>
        <w:rPr>
          <w:rFonts w:hint="eastAsia" w:ascii="宋体" w:hAnsi="宋体" w:cs="宋体"/>
          <w:sz w:val="32"/>
          <w:szCs w:val="32"/>
        </w:rPr>
        <w:t>个项目开展了绩效目标完成情况梳理填报。</w:t>
      </w:r>
    </w:p>
    <w:p>
      <w:pPr>
        <w:pStyle w:val="12"/>
        <w:widowControl/>
        <w:spacing w:beforeAutospacing="0" w:afterAutospacing="0" w:line="480" w:lineRule="atLeast"/>
        <w:ind w:firstLine="420"/>
        <w:rPr>
          <w:rFonts w:ascii="??_GB2312" w:hAnsi="??_GB2312" w:eastAsia="Times New Roman" w:cs="??_GB2312"/>
          <w:sz w:val="32"/>
          <w:szCs w:val="32"/>
        </w:rPr>
      </w:pPr>
      <w:r>
        <w:rPr>
          <w:rFonts w:hint="eastAsia" w:ascii="宋体" w:hAnsi="宋体" w:cs="宋体"/>
          <w:sz w:val="32"/>
          <w:szCs w:val="32"/>
        </w:rPr>
        <w:t>本部门按要求对</w:t>
      </w:r>
      <w:r>
        <w:rPr>
          <w:rFonts w:ascii="??_GB2312" w:hAnsi="??_GB2312" w:eastAsia="Times New Roman" w:cs="??_GB2312"/>
          <w:sz w:val="32"/>
          <w:szCs w:val="32"/>
        </w:rPr>
        <w:t>2018</w:t>
      </w:r>
      <w:r>
        <w:rPr>
          <w:rFonts w:hint="eastAsia" w:ascii="宋体" w:hAnsi="宋体" w:cs="宋体"/>
          <w:sz w:val="32"/>
          <w:szCs w:val="32"/>
        </w:rPr>
        <w:t>年部门整体支出开展绩效自评，从评价情况来看未开展绩效目标管理。本部门还自行组织了</w:t>
      </w:r>
      <w:r>
        <w:rPr>
          <w:rFonts w:ascii="??_GB2312" w:hAnsi="??_GB2312" w:eastAsia="Times New Roman" w:cs="??_GB2312"/>
          <w:sz w:val="32"/>
          <w:szCs w:val="32"/>
        </w:rPr>
        <w:t>0</w:t>
      </w:r>
      <w:r>
        <w:rPr>
          <w:rFonts w:hint="eastAsia" w:ascii="宋体" w:hAnsi="宋体" w:cs="宋体"/>
          <w:sz w:val="32"/>
          <w:szCs w:val="32"/>
        </w:rPr>
        <w:t>个项目绩效评价，从评价情况来看未开展绩效自评。</w:t>
      </w:r>
    </w:p>
    <w:p>
      <w:pPr>
        <w:numPr>
          <w:ilvl w:val="0"/>
          <w:numId w:val="4"/>
        </w:numPr>
        <w:spacing w:line="580" w:lineRule="exact"/>
        <w:ind w:firstLine="643" w:firstLineChars="200"/>
        <w:rPr>
          <w:rFonts w:ascii="??_GB2312" w:hAnsi="??_GB2312" w:eastAsia="Times New Roman" w:cs="??_GB2312"/>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_GB2312" w:hAnsi="??_GB2312" w:eastAsia="Times New Roman" w:cs="??_GB2312"/>
          <w:sz w:val="32"/>
          <w:szCs w:val="32"/>
        </w:rPr>
        <w:t xml:space="preserve">    </w:t>
      </w:r>
      <w:r>
        <w:rPr>
          <w:rFonts w:hint="eastAsia" w:ascii="宋体" w:hAnsi="宋体" w:cs="宋体"/>
          <w:sz w:val="32"/>
          <w:szCs w:val="32"/>
        </w:rPr>
        <w:t>本部门在</w:t>
      </w:r>
      <w:r>
        <w:rPr>
          <w:rFonts w:ascii="??_GB2312" w:hAnsi="??_GB2312" w:eastAsia="Times New Roman" w:cs="??_GB2312"/>
          <w:sz w:val="32"/>
          <w:szCs w:val="32"/>
        </w:rPr>
        <w:t>2018</w:t>
      </w:r>
      <w:r>
        <w:rPr>
          <w:rFonts w:hint="eastAsia" w:ascii="宋体" w:hAnsi="宋体" w:cs="宋体"/>
          <w:sz w:val="32"/>
          <w:szCs w:val="32"/>
        </w:rPr>
        <w:t>年度部门决算中反映</w:t>
      </w:r>
      <w:r>
        <w:rPr>
          <w:rFonts w:ascii="??_GB2312" w:hAnsi="??_GB2312" w:eastAsia="Times New Roman" w:cs="??_GB2312"/>
          <w:sz w:val="32"/>
          <w:szCs w:val="32"/>
        </w:rPr>
        <w:t>0</w:t>
      </w:r>
      <w:r>
        <w:rPr>
          <w:rFonts w:hint="eastAsia" w:ascii="宋体" w:hAnsi="宋体" w:cs="宋体"/>
          <w:sz w:val="32"/>
          <w:szCs w:val="32"/>
        </w:rPr>
        <w:t>个项目绩效目标实际完成情况。（本单位部门项目绩效目标个数在</w:t>
      </w:r>
      <w:r>
        <w:rPr>
          <w:rFonts w:ascii="??_GB2312" w:hAnsi="??_GB2312" w:eastAsia="Times New Roman" w:cs="??_GB2312"/>
          <w:sz w:val="32"/>
          <w:szCs w:val="32"/>
        </w:rPr>
        <w:t>5</w:t>
      </w:r>
      <w:r>
        <w:rPr>
          <w:rFonts w:hint="eastAsia" w:ascii="宋体" w:hAnsi="宋体" w:cs="宋体"/>
          <w:sz w:val="32"/>
          <w:szCs w:val="32"/>
        </w:rPr>
        <w:t>个以上的，选取</w:t>
      </w:r>
      <w:r>
        <w:rPr>
          <w:rFonts w:ascii="??_GB2312" w:hAnsi="??_GB2312" w:eastAsia="Times New Roman" w:cs="??_GB2312"/>
          <w:sz w:val="32"/>
          <w:szCs w:val="32"/>
        </w:rPr>
        <w:t>5</w:t>
      </w:r>
      <w:r>
        <w:rPr>
          <w:rFonts w:hint="eastAsia" w:ascii="宋体" w:hAnsi="宋体" w:cs="宋体"/>
          <w:sz w:val="32"/>
          <w:szCs w:val="32"/>
        </w:rPr>
        <w:t>个项目进行公开，目标个数在</w:t>
      </w:r>
      <w:r>
        <w:rPr>
          <w:rFonts w:ascii="??_GB2312" w:hAnsi="??_GB2312" w:eastAsia="Times New Roman" w:cs="??_GB2312"/>
          <w:sz w:val="32"/>
          <w:szCs w:val="32"/>
        </w:rPr>
        <w:t>5</w:t>
      </w:r>
      <w:r>
        <w:rPr>
          <w:rFonts w:hint="eastAsia" w:ascii="宋体" w:hAnsi="宋体" w:cs="宋体"/>
          <w:sz w:val="32"/>
          <w:szCs w:val="32"/>
        </w:rPr>
        <w:t>个以下的，全部进行公开，公开内容包括完成情况综述和完成情况表）。</w:t>
      </w:r>
    </w:p>
    <w:p>
      <w:pPr>
        <w:numPr>
          <w:ilvl w:val="0"/>
          <w:numId w:val="5"/>
        </w:numPr>
        <w:spacing w:line="580" w:lineRule="exact"/>
        <w:ind w:firstLine="640" w:firstLineChars="200"/>
        <w:rPr>
          <w:rFonts w:ascii="??_GB2312" w:hAnsi="??_GB2312" w:eastAsia="Times New Roman" w:cs="??_GB2312"/>
          <w:sz w:val="32"/>
          <w:szCs w:val="32"/>
        </w:rPr>
      </w:pPr>
      <w:r>
        <w:rPr>
          <w:rFonts w:ascii="??_GB2312" w:hAnsi="??_GB2312" w:eastAsia="Times New Roman"/>
          <w:sz w:val="32"/>
          <w:szCs w:val="32"/>
        </w:rPr>
        <w:t>0</w:t>
      </w:r>
      <w:r>
        <w:rPr>
          <w:rFonts w:hint="eastAsia" w:ascii="宋体" w:hAnsi="宋体" w:cs="宋体"/>
          <w:sz w:val="32"/>
          <w:szCs w:val="32"/>
        </w:rPr>
        <w:t>项目绩效目标完成情况综述。项目全年预算数</w:t>
      </w:r>
      <w:r>
        <w:rPr>
          <w:rFonts w:ascii="??_GB2312" w:hAnsi="??_GB2312" w:eastAsia="Times New Roman" w:cs="??_GB2312"/>
          <w:sz w:val="32"/>
          <w:szCs w:val="32"/>
        </w:rPr>
        <w:t>0</w:t>
      </w:r>
      <w:r>
        <w:rPr>
          <w:rFonts w:hint="eastAsia" w:ascii="宋体" w:hAnsi="宋体" w:cs="宋体"/>
          <w:sz w:val="32"/>
          <w:szCs w:val="32"/>
        </w:rPr>
        <w:t>万元，执行数为</w:t>
      </w:r>
      <w:r>
        <w:rPr>
          <w:rFonts w:ascii="??_GB2312" w:hAnsi="??_GB2312" w:eastAsia="Times New Roman" w:cs="??_GB2312"/>
          <w:sz w:val="32"/>
          <w:szCs w:val="32"/>
        </w:rPr>
        <w:t>0</w:t>
      </w:r>
      <w:r>
        <w:rPr>
          <w:rFonts w:hint="eastAsia" w:ascii="宋体" w:hAnsi="宋体" w:cs="宋体"/>
          <w:sz w:val="32"/>
          <w:szCs w:val="32"/>
        </w:rPr>
        <w:t>万元，完成预算的</w:t>
      </w:r>
      <w:r>
        <w:rPr>
          <w:rFonts w:ascii="??_GB2312" w:hAnsi="??_GB2312" w:eastAsia="Times New Roman" w:cs="??_GB2312"/>
          <w:sz w:val="32"/>
          <w:szCs w:val="32"/>
        </w:rPr>
        <w:t>0%</w:t>
      </w:r>
      <w:r>
        <w:rPr>
          <w:rFonts w:hint="eastAsia" w:ascii="宋体" w:hAnsi="宋体" w:cs="宋体"/>
          <w:sz w:val="32"/>
          <w:szCs w:val="32"/>
        </w:rPr>
        <w:t>。</w:t>
      </w:r>
    </w:p>
    <w:p>
      <w:pPr>
        <w:numPr>
          <w:ilvl w:val="0"/>
          <w:numId w:val="5"/>
        </w:numPr>
        <w:spacing w:line="580" w:lineRule="exact"/>
        <w:ind w:firstLine="640" w:firstLineChars="200"/>
        <w:rPr>
          <w:rFonts w:ascii="??_GB2312" w:hAnsi="??_GB2312" w:eastAsia="Times New Roman" w:cs="??_GB2312"/>
          <w:sz w:val="32"/>
          <w:szCs w:val="32"/>
        </w:rPr>
      </w:pPr>
      <w:r>
        <w:rPr>
          <w:rFonts w:ascii="??_GB2312" w:hAnsi="??_GB2312" w:eastAsia="Times New Roman"/>
          <w:sz w:val="32"/>
          <w:szCs w:val="32"/>
        </w:rPr>
        <w:t>0</w:t>
      </w:r>
      <w:r>
        <w:rPr>
          <w:rFonts w:hint="eastAsia" w:ascii="宋体" w:hAnsi="宋体" w:cs="宋体"/>
          <w:sz w:val="32"/>
          <w:szCs w:val="32"/>
        </w:rPr>
        <w:t>项目绩效目标完成情况综述。项目全年预算数</w:t>
      </w:r>
      <w:r>
        <w:rPr>
          <w:rFonts w:ascii="??_GB2312" w:hAnsi="??_GB2312" w:eastAsia="Times New Roman" w:cs="??_GB2312"/>
          <w:sz w:val="32"/>
          <w:szCs w:val="32"/>
        </w:rPr>
        <w:t>0</w:t>
      </w:r>
      <w:r>
        <w:rPr>
          <w:rFonts w:hint="eastAsia" w:ascii="宋体" w:hAnsi="宋体" w:cs="宋体"/>
          <w:sz w:val="32"/>
          <w:szCs w:val="32"/>
        </w:rPr>
        <w:t>万元，执行数为</w:t>
      </w:r>
      <w:r>
        <w:rPr>
          <w:rFonts w:ascii="??_GB2312" w:hAnsi="??_GB2312" w:eastAsia="Times New Roman" w:cs="??_GB2312"/>
          <w:sz w:val="32"/>
          <w:szCs w:val="32"/>
        </w:rPr>
        <w:t>0</w:t>
      </w:r>
      <w:r>
        <w:rPr>
          <w:rFonts w:hint="eastAsia" w:ascii="宋体" w:hAnsi="宋体" w:cs="宋体"/>
          <w:sz w:val="32"/>
          <w:szCs w:val="32"/>
        </w:rPr>
        <w:t>万元，完成预算的</w:t>
      </w:r>
      <w:r>
        <w:rPr>
          <w:rFonts w:ascii="??_GB2312" w:hAnsi="??_GB2312" w:eastAsia="Times New Roman" w:cs="??_GB2312"/>
          <w:sz w:val="32"/>
          <w:szCs w:val="32"/>
        </w:rPr>
        <w:t>0%</w:t>
      </w:r>
      <w:r>
        <w:rPr>
          <w:rFonts w:hint="eastAsia" w:ascii="宋体" w:hAnsi="宋体" w:cs="宋体"/>
          <w:sz w:val="32"/>
          <w:szCs w:val="32"/>
        </w:rPr>
        <w:t>。</w:t>
      </w:r>
    </w:p>
    <w:p>
      <w:pPr>
        <w:numPr>
          <w:ilvl w:val="0"/>
          <w:numId w:val="5"/>
        </w:numPr>
        <w:spacing w:line="580" w:lineRule="exact"/>
        <w:ind w:firstLine="640" w:firstLineChars="200"/>
        <w:rPr>
          <w:rFonts w:ascii="??_GB2312" w:hAnsi="??_GB2312" w:eastAsia="Times New Roman" w:cs="??_GB2312"/>
          <w:sz w:val="32"/>
          <w:szCs w:val="32"/>
        </w:rPr>
      </w:pPr>
      <w:r>
        <w:rPr>
          <w:rFonts w:ascii="??_GB2312" w:hAnsi="??_GB2312" w:eastAsia="Times New Roman"/>
          <w:sz w:val="32"/>
          <w:szCs w:val="32"/>
        </w:rPr>
        <w:t>0</w:t>
      </w:r>
      <w:r>
        <w:rPr>
          <w:rFonts w:hint="eastAsia" w:ascii="宋体" w:hAnsi="宋体" w:cs="宋体"/>
          <w:sz w:val="32"/>
          <w:szCs w:val="32"/>
        </w:rPr>
        <w:t>项目绩效目标完成情况综述。项目全年预算数</w:t>
      </w:r>
      <w:r>
        <w:rPr>
          <w:rFonts w:ascii="??_GB2312" w:hAnsi="??_GB2312" w:eastAsia="Times New Roman" w:cs="??_GB2312"/>
          <w:sz w:val="32"/>
          <w:szCs w:val="32"/>
        </w:rPr>
        <w:t>0</w:t>
      </w:r>
      <w:r>
        <w:rPr>
          <w:rFonts w:hint="eastAsia" w:ascii="宋体" w:hAnsi="宋体" w:cs="宋体"/>
          <w:sz w:val="32"/>
          <w:szCs w:val="32"/>
        </w:rPr>
        <w:t>万元，执行数为</w:t>
      </w:r>
      <w:r>
        <w:rPr>
          <w:rFonts w:ascii="??_GB2312" w:hAnsi="??_GB2312" w:eastAsia="Times New Roman" w:cs="??_GB2312"/>
          <w:sz w:val="32"/>
          <w:szCs w:val="32"/>
        </w:rPr>
        <w:t>0</w:t>
      </w:r>
      <w:r>
        <w:rPr>
          <w:rFonts w:hint="eastAsia" w:ascii="宋体" w:hAnsi="宋体" w:cs="宋体"/>
          <w:sz w:val="32"/>
          <w:szCs w:val="32"/>
        </w:rPr>
        <w:t>万元，完成预算的</w:t>
      </w:r>
      <w:r>
        <w:rPr>
          <w:rFonts w:ascii="??_GB2312" w:hAnsi="??_GB2312" w:eastAsia="Times New Roman" w:cs="??_GB2312"/>
          <w:sz w:val="32"/>
          <w:szCs w:val="32"/>
        </w:rPr>
        <w:t>0%</w:t>
      </w:r>
      <w:r>
        <w:rPr>
          <w:rFonts w:hint="eastAsia" w:ascii="宋体" w:hAnsi="宋体" w:cs="宋体"/>
          <w:sz w:val="32"/>
          <w:szCs w:val="32"/>
        </w:rPr>
        <w:t>。</w:t>
      </w:r>
    </w:p>
    <w:p>
      <w:pPr>
        <w:tabs>
          <w:tab w:val="left" w:pos="312"/>
        </w:tabs>
        <w:spacing w:line="580" w:lineRule="exact"/>
        <w:rPr>
          <w:rFonts w:ascii="??_GB2312" w:hAnsi="??_GB2312" w:eastAsia="Times New Roman" w:cs="??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8"/>
              <w:widowControl/>
              <w:ind w:left="4173" w:leftChars="1310" w:hanging="1422" w:hangingChars="395"/>
              <w:textAlignment w:val="center"/>
              <w:rPr>
                <w:rFonts w:ascii="宋体" w:cs="宋体"/>
                <w:sz w:val="36"/>
                <w:szCs w:val="36"/>
              </w:rPr>
            </w:pPr>
            <w:r>
              <w:rPr>
                <w:rFonts w:hint="eastAsia" w:ascii="黑体" w:hAnsi="黑体" w:eastAsia="黑体" w:cs="宋体"/>
                <w:bCs/>
                <w:kern w:val="0"/>
                <w:sz w:val="36"/>
                <w:szCs w:val="36"/>
              </w:rPr>
              <w:t>项目支出绩效目标完成情况表</w:t>
            </w:r>
            <w:r>
              <w:rPr>
                <w:rFonts w:ascii="宋体" w:cs="宋体"/>
                <w:b/>
                <w:bCs/>
                <w:kern w:val="0"/>
                <w:sz w:val="36"/>
                <w:szCs w:val="36"/>
              </w:rPr>
              <w:br w:type="textWrapping"/>
            </w:r>
            <w:r>
              <w:rPr>
                <w:rFonts w:ascii="宋体" w:hAnsi="宋体" w:cs="宋体"/>
                <w:kern w:val="0"/>
                <w:sz w:val="36"/>
                <w:szCs w:val="36"/>
              </w:rPr>
              <w:t xml:space="preserve">(2018 </w:t>
            </w:r>
            <w:r>
              <w:rPr>
                <w:rFonts w:hint="eastAsia" w:ascii="宋体" w:hAnsi="宋体" w:cs="宋体"/>
                <w:kern w:val="0"/>
                <w:sz w:val="36"/>
                <w:szCs w:val="36"/>
              </w:rPr>
              <w:t>年度</w:t>
            </w:r>
            <w:r>
              <w:rPr>
                <w:rFonts w:ascii="宋体" w:hAnsi="宋体" w:cs="宋体"/>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执行数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asci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kern w:val="0"/>
                <w:sz w:val="24"/>
              </w:rPr>
            </w:pPr>
            <w:r>
              <w:rPr>
                <w:rFonts w:hint="eastAsia" w:ascii="宋体" w:hAnsi="宋体" w:cs="宋体"/>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p>
        </w:tc>
      </w:tr>
    </w:tbl>
    <w:p>
      <w:pPr>
        <w:rPr>
          <w:rFonts w:ascii="Calibri" w:hAnsi="Calibri"/>
        </w:rPr>
      </w:pPr>
    </w:p>
    <w:p>
      <w:pPr>
        <w:spacing w:line="580" w:lineRule="exact"/>
        <w:rPr>
          <w:rFonts w:ascii="??_GB2312" w:hAnsi="??_GB2312" w:eastAsia="Times New Roman" w:cs="??_GB2312"/>
          <w:sz w:val="32"/>
          <w:szCs w:val="32"/>
        </w:rPr>
      </w:pPr>
    </w:p>
    <w:p>
      <w:pPr>
        <w:numPr>
          <w:ilvl w:val="0"/>
          <w:numId w:val="4"/>
        </w:numPr>
        <w:spacing w:line="580" w:lineRule="exact"/>
        <w:ind w:firstLine="643" w:firstLineChars="200"/>
        <w:rPr>
          <w:rFonts w:ascii="仿宋" w:hAnsi="仿宋" w:eastAsia="仿宋" w:cs="??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_GB2312" w:hAnsi="??_GB2312" w:eastAsia="Times New Roman" w:cs="??_GB2312"/>
          <w:sz w:val="32"/>
          <w:szCs w:val="32"/>
        </w:rPr>
      </w:pPr>
      <w:r>
        <w:rPr>
          <w:rFonts w:hint="eastAsia" w:ascii="宋体" w:hAnsi="宋体" w:cs="宋体"/>
          <w:sz w:val="32"/>
          <w:szCs w:val="32"/>
        </w:rPr>
        <w:t>本部门按要求对</w:t>
      </w:r>
      <w:r>
        <w:rPr>
          <w:rFonts w:ascii="??_GB2312" w:hAnsi="??_GB2312" w:eastAsia="Times New Roman" w:cs="??_GB2312"/>
          <w:sz w:val="32"/>
          <w:szCs w:val="32"/>
        </w:rPr>
        <w:t>2018</w:t>
      </w:r>
      <w:r>
        <w:rPr>
          <w:rFonts w:hint="eastAsia" w:ascii="宋体" w:hAnsi="宋体" w:cs="宋体"/>
          <w:sz w:val="32"/>
          <w:szCs w:val="32"/>
        </w:rPr>
        <w:t>年部门整体支出绩效评价情况开展自评，《达川区司法局部门</w:t>
      </w:r>
      <w:r>
        <w:rPr>
          <w:rFonts w:ascii="??_GB2312" w:hAnsi="??_GB2312" w:eastAsia="Times New Roman" w:cs="??_GB2312"/>
          <w:sz w:val="32"/>
          <w:szCs w:val="32"/>
        </w:rPr>
        <w:t>2018</w:t>
      </w:r>
      <w:r>
        <w:rPr>
          <w:rFonts w:hint="eastAsia" w:ascii="宋体" w:hAnsi="宋体" w:cs="宋体"/>
          <w:sz w:val="32"/>
          <w:szCs w:val="32"/>
        </w:rPr>
        <w:t>年部门整体支出绩效评价报告》见附件。</w:t>
      </w:r>
    </w:p>
    <w:p>
      <w:pPr>
        <w:spacing w:line="580" w:lineRule="exact"/>
        <w:ind w:firstLine="640" w:firstLineChars="200"/>
        <w:rPr>
          <w:rFonts w:ascii="??_GB2312" w:hAnsi="??_GB2312" w:eastAsia="Times New Roman" w:cs="??_GB2312"/>
          <w:sz w:val="32"/>
          <w:szCs w:val="32"/>
        </w:rPr>
      </w:pPr>
      <w:r>
        <w:rPr>
          <w:rFonts w:hint="eastAsia" w:ascii="宋体" w:hAnsi="宋体" w:cs="宋体"/>
          <w:sz w:val="32"/>
          <w:szCs w:val="32"/>
        </w:rPr>
        <w:t>本部门自行组织对</w:t>
      </w:r>
      <w:r>
        <w:rPr>
          <w:rFonts w:ascii="??_GB2312" w:hAnsi="??_GB2312" w:eastAsia="Times New Roman" w:cs="??_GB2312"/>
          <w:sz w:val="32"/>
          <w:szCs w:val="32"/>
        </w:rPr>
        <w:t>0</w:t>
      </w:r>
      <w:r>
        <w:rPr>
          <w:rFonts w:hint="eastAsia" w:ascii="宋体" w:hAnsi="宋体" w:cs="宋体"/>
          <w:sz w:val="32"/>
          <w:szCs w:val="32"/>
        </w:rPr>
        <w:t>项目、</w:t>
      </w:r>
      <w:r>
        <w:rPr>
          <w:rFonts w:ascii="??_GB2312" w:hAnsi="??_GB2312" w:eastAsia="Times New Roman" w:cs="??_GB2312"/>
          <w:sz w:val="32"/>
          <w:szCs w:val="32"/>
        </w:rPr>
        <w:t>0</w:t>
      </w:r>
      <w:r>
        <w:rPr>
          <w:rFonts w:hint="eastAsia" w:ascii="宋体" w:hAnsi="宋体" w:cs="宋体"/>
          <w:sz w:val="32"/>
          <w:szCs w:val="32"/>
        </w:rPr>
        <w:t>项目开展了绩效评价，《达川区司法局项目</w:t>
      </w:r>
      <w:r>
        <w:rPr>
          <w:rFonts w:ascii="??_GB2312" w:hAnsi="??_GB2312" w:eastAsia="Times New Roman" w:cs="??_GB2312"/>
          <w:sz w:val="32"/>
          <w:szCs w:val="32"/>
        </w:rPr>
        <w:t>2018</w:t>
      </w:r>
      <w:r>
        <w:rPr>
          <w:rFonts w:hint="eastAsia" w:ascii="宋体" w:hAnsi="宋体" w:cs="宋体"/>
          <w:sz w:val="32"/>
          <w:szCs w:val="32"/>
        </w:rPr>
        <w:t>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18"/>
          <w:rFonts w:ascii="黑体" w:hAnsi="黑体" w:eastAsia="黑体"/>
        </w:rPr>
      </w:pPr>
      <w:bookmarkStart w:id="53" w:name="_Toc15377221"/>
      <w:bookmarkStart w:id="54" w:name="_Toc25870"/>
      <w:r>
        <w:rPr>
          <w:rFonts w:hint="eastAsia" w:ascii="黑体" w:hAnsi="黑体" w:eastAsia="黑体"/>
          <w:sz w:val="32"/>
          <w:szCs w:val="32"/>
        </w:rPr>
        <w:t>十</w:t>
      </w:r>
      <w:r>
        <w:rPr>
          <w:rStyle w:val="18"/>
          <w:rFonts w:hint="eastAsia" w:ascii="黑体" w:hAnsi="黑体" w:eastAsia="黑体"/>
        </w:rPr>
        <w:t>一、</w:t>
      </w:r>
      <w:r>
        <w:rPr>
          <w:rStyle w:val="18"/>
          <w:rFonts w:hint="eastAsia" w:ascii="黑体" w:hAnsi="黑体" w:eastAsia="黑体"/>
          <w:b w:val="0"/>
        </w:rPr>
        <w:t>其他重要事项的情况说明</w:t>
      </w:r>
      <w:bookmarkEnd w:id="53"/>
      <w:bookmarkEnd w:id="54"/>
    </w:p>
    <w:p>
      <w:pPr>
        <w:spacing w:line="600" w:lineRule="exact"/>
        <w:ind w:firstLine="643" w:firstLineChars="200"/>
        <w:outlineLvl w:val="2"/>
        <w:rPr>
          <w:rFonts w:ascii="仿宋" w:hAnsi="仿宋" w:eastAsia="仿宋"/>
          <w:sz w:val="32"/>
          <w:szCs w:val="32"/>
        </w:rPr>
      </w:pPr>
      <w:bookmarkStart w:id="55" w:name="_Toc15377222"/>
      <w:r>
        <w:rPr>
          <w:rFonts w:hint="eastAsia" w:ascii="仿宋" w:hAnsi="仿宋" w:eastAsia="仿宋"/>
          <w:b/>
          <w:sz w:val="32"/>
          <w:szCs w:val="32"/>
        </w:rPr>
        <w:t>（一）机关运行经费支出情况</w:t>
      </w:r>
      <w:bookmarkEnd w:id="55"/>
    </w:p>
    <w:p>
      <w:pPr>
        <w:spacing w:line="600" w:lineRule="exact"/>
        <w:ind w:firstLine="640" w:firstLineChars="200"/>
        <w:rPr>
          <w:rFonts w:ascii="??_GB2312" w:eastAsia="Times New Roman"/>
          <w:sz w:val="32"/>
          <w:szCs w:val="32"/>
        </w:rPr>
      </w:pPr>
      <w:r>
        <w:rPr>
          <w:rFonts w:ascii="??_GB2312" w:eastAsia="Times New Roman"/>
          <w:sz w:val="32"/>
          <w:szCs w:val="32"/>
        </w:rPr>
        <w:t>2018年，达川区司法局机关运行经费支出176.84万元，比2017年增加80.94万元，增长84.40%。主要原因是人员增加和上年未支付的款项。</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6" w:name="_Toc15377223"/>
      <w:r>
        <w:rPr>
          <w:rFonts w:hint="eastAsia" w:ascii="仿宋" w:hAnsi="仿宋" w:eastAsia="仿宋"/>
          <w:b/>
          <w:sz w:val="32"/>
          <w:szCs w:val="32"/>
        </w:rPr>
        <w:t>（二）政府采购支出情况</w:t>
      </w:r>
      <w:bookmarkEnd w:id="56"/>
    </w:p>
    <w:p>
      <w:pPr>
        <w:spacing w:line="600" w:lineRule="exact"/>
        <w:ind w:firstLine="640" w:firstLineChars="200"/>
        <w:rPr>
          <w:rFonts w:ascii="??_GB2312" w:eastAsia="Times New Roman"/>
          <w:sz w:val="32"/>
          <w:szCs w:val="32"/>
        </w:rPr>
      </w:pPr>
      <w:r>
        <w:rPr>
          <w:rFonts w:ascii="??_GB2312" w:eastAsia="Times New Roman"/>
          <w:sz w:val="32"/>
          <w:szCs w:val="32"/>
        </w:rPr>
        <w:t>2018年，达川区司法局政府采购支出总额82.82万元，其中：政府采购货物支出82.82万元、政府采购工程支出0万元、政府采购服务支出0万元。主要用于办公。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7" w:name="_Toc15377224"/>
      <w:r>
        <w:rPr>
          <w:rFonts w:hint="eastAsia" w:ascii="仿宋" w:hAnsi="仿宋" w:eastAsia="仿宋"/>
          <w:b/>
          <w:sz w:val="32"/>
          <w:szCs w:val="32"/>
        </w:rPr>
        <w:t>（三）国有资产占有使用情况</w:t>
      </w:r>
      <w:bookmarkEnd w:id="57"/>
    </w:p>
    <w:p>
      <w:pPr>
        <w:autoSpaceDE w:val="0"/>
        <w:autoSpaceDN w:val="0"/>
        <w:adjustRightInd w:val="0"/>
        <w:spacing w:line="600" w:lineRule="exact"/>
        <w:ind w:firstLine="640" w:firstLineChars="200"/>
        <w:jc w:val="left"/>
        <w:rPr>
          <w:rFonts w:ascii="??_GB2312" w:eastAsia="Times New Roman"/>
          <w:sz w:val="32"/>
          <w:szCs w:val="32"/>
        </w:rPr>
      </w:pPr>
      <w:r>
        <w:rPr>
          <w:rFonts w:ascii="??_GB2312" w:eastAsia="Times New Roman"/>
          <w:sz w:val="32"/>
          <w:szCs w:val="32"/>
        </w:rPr>
        <w:t>截至2018年12月31日，达川区司法局共有车辆4辆，其中：部级领导干部用车0辆、一般公务用车0辆、一般执法执勤用车4辆、特种专业技术用车0辆、其他用车0辆。单价50万元以上通用设备0台（套），单价100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p>
    <w:p>
      <w:pPr>
        <w:spacing w:line="600" w:lineRule="atLeast"/>
        <w:ind w:firstLine="640" w:firstLineChars="200"/>
        <w:rPr>
          <w:rFonts w:ascii="??_GB2312" w:eastAsia="Times New Roman"/>
          <w:b/>
          <w:sz w:val="32"/>
          <w:szCs w:val="32"/>
        </w:rPr>
      </w:pPr>
    </w:p>
    <w:p>
      <w:pPr>
        <w:widowControl/>
        <w:jc w:val="left"/>
        <w:rPr>
          <w:rFonts w:ascii="??_GB2312" w:eastAsia="Times New Roman"/>
          <w:b/>
          <w:sz w:val="32"/>
          <w:szCs w:val="32"/>
        </w:rPr>
      </w:pPr>
      <w:r>
        <w:rPr>
          <w:rFonts w:ascii="??_GB2312" w:eastAsia="Times New Roman"/>
          <w:b/>
          <w:sz w:val="32"/>
          <w:szCs w:val="32"/>
        </w:rPr>
        <w:br w:type="page"/>
      </w:r>
    </w:p>
    <w:p>
      <w:pPr>
        <w:numPr>
          <w:ilvl w:val="0"/>
          <w:numId w:val="6"/>
        </w:numPr>
        <w:spacing w:line="600" w:lineRule="exact"/>
        <w:ind w:firstLine="663" w:firstLineChars="150"/>
        <w:jc w:val="center"/>
        <w:outlineLvl w:val="0"/>
        <w:rPr>
          <w:rStyle w:val="17"/>
          <w:rFonts w:ascii="黑体" w:hAnsi="黑体" w:eastAsia="黑体"/>
          <w:b w:val="0"/>
        </w:rPr>
      </w:pPr>
      <w:bookmarkStart w:id="58" w:name="_Toc15377225"/>
      <w:bookmarkStart w:id="59" w:name="_Toc28839"/>
      <w:r>
        <w:rPr>
          <w:rFonts w:hint="eastAsia" w:ascii="黑体" w:hAnsi="黑体" w:eastAsia="黑体"/>
          <w:b/>
          <w:sz w:val="44"/>
          <w:szCs w:val="44"/>
        </w:rPr>
        <w:t>名</w:t>
      </w:r>
      <w:r>
        <w:rPr>
          <w:rStyle w:val="17"/>
          <w:rFonts w:hint="eastAsia" w:ascii="黑体" w:hAnsi="黑体" w:eastAsia="黑体"/>
          <w:b w:val="0"/>
        </w:rPr>
        <w:t>词解释</w:t>
      </w:r>
      <w:bookmarkEnd w:id="58"/>
      <w:bookmarkEnd w:id="59"/>
    </w:p>
    <w:p>
      <w:pPr>
        <w:spacing w:line="600" w:lineRule="exact"/>
        <w:jc w:val="left"/>
        <w:rPr>
          <w:rFonts w:ascii="宋体"/>
          <w:b/>
          <w:sz w:val="44"/>
          <w:szCs w:val="44"/>
        </w:rPr>
      </w:pPr>
    </w:p>
    <w:p>
      <w:pPr>
        <w:pStyle w:val="27"/>
        <w:spacing w:line="560" w:lineRule="exact"/>
        <w:ind w:firstLine="640" w:firstLineChars="200"/>
        <w:rPr>
          <w:rFonts w:ascii="??_GB2312" w:eastAsia="Times New Roman"/>
          <w:color w:val="auto"/>
          <w:sz w:val="32"/>
          <w:szCs w:val="32"/>
        </w:rPr>
      </w:pPr>
      <w:r>
        <w:rPr>
          <w:rFonts w:ascii="??_GB2312" w:eastAsia="Times New Roman"/>
          <w:color w:val="auto"/>
          <w:sz w:val="32"/>
          <w:szCs w:val="32"/>
        </w:rPr>
        <w:t>1.财政拨款收入：指单位从同级财政部门取得的财政预算资金。</w:t>
      </w:r>
    </w:p>
    <w:p>
      <w:pPr>
        <w:pStyle w:val="27"/>
        <w:spacing w:line="560" w:lineRule="exact"/>
        <w:ind w:firstLine="640" w:firstLineChars="200"/>
        <w:rPr>
          <w:rFonts w:ascii="??_GB2312" w:eastAsia="Times New Roman"/>
          <w:color w:val="auto"/>
          <w:sz w:val="32"/>
          <w:szCs w:val="32"/>
        </w:rPr>
      </w:pPr>
      <w:r>
        <w:rPr>
          <w:rFonts w:ascii="??_GB2312" w:eastAsia="Times New Roman"/>
          <w:color w:val="auto"/>
          <w:sz w:val="32"/>
          <w:szCs w:val="32"/>
        </w:rPr>
        <w:t>2.事业收入：指事业单位开展专业业务活动及辅助活动取得的收入。</w:t>
      </w:r>
    </w:p>
    <w:p>
      <w:pPr>
        <w:pStyle w:val="27"/>
        <w:spacing w:line="560" w:lineRule="exact"/>
        <w:ind w:firstLine="640" w:firstLineChars="200"/>
        <w:rPr>
          <w:rFonts w:ascii="??_GB2312" w:eastAsia="Times New Roman"/>
          <w:color w:val="auto"/>
          <w:sz w:val="32"/>
          <w:szCs w:val="32"/>
        </w:rPr>
      </w:pPr>
      <w:r>
        <w:rPr>
          <w:rFonts w:ascii="??_GB2312" w:eastAsia="Times New Roman"/>
          <w:color w:val="auto"/>
          <w:sz w:val="32"/>
          <w:szCs w:val="32"/>
        </w:rPr>
        <w:t>3.经营收入：指事业单位在专业业务活动及其辅助活动之外开展非独立核算经营活动取得的收入。</w:t>
      </w:r>
    </w:p>
    <w:p>
      <w:pPr>
        <w:pStyle w:val="27"/>
        <w:spacing w:line="560" w:lineRule="exact"/>
        <w:ind w:firstLine="640" w:firstLineChars="200"/>
        <w:rPr>
          <w:rFonts w:ascii="??_GB2312" w:eastAsia="Times New Roman"/>
          <w:color w:val="auto"/>
          <w:sz w:val="32"/>
          <w:szCs w:val="32"/>
        </w:rPr>
      </w:pPr>
      <w:r>
        <w:rPr>
          <w:rFonts w:ascii="??_GB2312" w:eastAsia="Times New Roman"/>
          <w:color w:val="auto"/>
          <w:sz w:val="32"/>
          <w:szCs w:val="32"/>
        </w:rPr>
        <w:t>4.其他收入：指单位取得的除上述收入以外的各项收入。</w:t>
      </w:r>
    </w:p>
    <w:p>
      <w:pPr>
        <w:pStyle w:val="27"/>
        <w:spacing w:line="560" w:lineRule="exact"/>
        <w:ind w:firstLine="640" w:firstLineChars="200"/>
        <w:rPr>
          <w:rFonts w:ascii="??_GB2312" w:eastAsia="Times New Roman"/>
          <w:color w:val="auto"/>
          <w:sz w:val="32"/>
          <w:szCs w:val="32"/>
        </w:rPr>
      </w:pPr>
      <w:r>
        <w:rPr>
          <w:rFonts w:ascii="??_GB2312" w:eastAsia="Times New Roman"/>
          <w:color w:val="auto"/>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7"/>
        <w:spacing w:line="560" w:lineRule="exact"/>
        <w:ind w:firstLine="640" w:firstLineChars="200"/>
        <w:rPr>
          <w:rFonts w:ascii="??_GB2312" w:eastAsia="Times New Roman"/>
          <w:color w:val="auto"/>
          <w:sz w:val="32"/>
          <w:szCs w:val="32"/>
        </w:rPr>
      </w:pPr>
      <w:r>
        <w:rPr>
          <w:rFonts w:ascii="??_GB2312" w:eastAsia="Times New Roman"/>
          <w:color w:val="auto"/>
          <w:sz w:val="32"/>
          <w:szCs w:val="32"/>
        </w:rPr>
        <w:t xml:space="preserve">6.年初结转和结余：指以前年度尚未完成、结转到本年按有关规定继续使用的资金。 </w:t>
      </w:r>
    </w:p>
    <w:p>
      <w:pPr>
        <w:pStyle w:val="27"/>
        <w:spacing w:line="560" w:lineRule="exact"/>
        <w:ind w:firstLine="640" w:firstLineChars="200"/>
        <w:rPr>
          <w:rFonts w:ascii="??_GB2312" w:eastAsia="Times New Roman"/>
          <w:color w:val="auto"/>
          <w:sz w:val="32"/>
          <w:szCs w:val="32"/>
        </w:rPr>
      </w:pPr>
      <w:r>
        <w:rPr>
          <w:rFonts w:ascii="??_GB2312" w:eastAsia="Times New Roman"/>
          <w:color w:val="auto"/>
          <w:sz w:val="32"/>
          <w:szCs w:val="32"/>
        </w:rPr>
        <w:t>7.结余分配：指事业单位按照事业单位会计制度的规定从非财政补助结余中分配的事业基金和职工福利基金等。</w:t>
      </w:r>
    </w:p>
    <w:p>
      <w:pPr>
        <w:pStyle w:val="27"/>
        <w:spacing w:line="560" w:lineRule="exact"/>
        <w:ind w:firstLine="640" w:firstLineChars="200"/>
        <w:rPr>
          <w:rFonts w:ascii="??_GB2312" w:eastAsia="Times New Roman"/>
          <w:color w:val="auto"/>
          <w:sz w:val="32"/>
          <w:szCs w:val="32"/>
        </w:rPr>
      </w:pPr>
      <w:r>
        <w:rPr>
          <w:rFonts w:ascii="??_GB2312" w:eastAsia="Times New Roman"/>
          <w:color w:val="auto"/>
          <w:sz w:val="32"/>
          <w:szCs w:val="32"/>
        </w:rPr>
        <w:t>8、年末结转和结余：指单位按有关规定结转到下年或以后年度继续使用的资金。</w:t>
      </w:r>
    </w:p>
    <w:p>
      <w:pPr>
        <w:pStyle w:val="12"/>
        <w:widowControl/>
        <w:spacing w:beforeAutospacing="0" w:afterAutospacing="0" w:line="480" w:lineRule="atLeast"/>
        <w:ind w:firstLine="640" w:firstLineChars="200"/>
        <w:rPr>
          <w:rFonts w:ascii="??_GB2312" w:eastAsia="Times New Roman"/>
          <w:kern w:val="2"/>
          <w:sz w:val="32"/>
          <w:szCs w:val="32"/>
        </w:rPr>
      </w:pPr>
      <w:r>
        <w:rPr>
          <w:rFonts w:ascii="??_GB2312" w:eastAsia="Times New Roman"/>
          <w:kern w:val="2"/>
          <w:sz w:val="32"/>
          <w:szCs w:val="32"/>
        </w:rPr>
        <w:t>9.公共安全支出（类）司法（款）行政运行（项）:指行政单位（包括实行公务员管理的事业单位）的基本支出。</w:t>
      </w:r>
      <w:r>
        <w:rPr>
          <w:rFonts w:ascii="??_GB2312" w:eastAsia="Times New Roman"/>
          <w:kern w:val="2"/>
          <w:sz w:val="32"/>
          <w:szCs w:val="32"/>
        </w:rPr>
        <w:br w:type="textWrapping"/>
      </w:r>
      <w:r>
        <w:rPr>
          <w:rFonts w:ascii="??_GB2312" w:eastAsia="Times New Roman"/>
          <w:kern w:val="2"/>
          <w:sz w:val="32"/>
          <w:szCs w:val="32"/>
        </w:rPr>
        <w:t xml:space="preserve">    10.公共安全支出（类）司法（款）一般行政管理事务（项）: 指行政单位（包括实行公务员管理的事业单位）设置项级科目的其他项目支出。</w:t>
      </w:r>
    </w:p>
    <w:p>
      <w:pPr>
        <w:pStyle w:val="12"/>
        <w:widowControl/>
        <w:spacing w:beforeAutospacing="0" w:afterAutospacing="0" w:line="480" w:lineRule="atLeast"/>
        <w:ind w:firstLine="640" w:firstLineChars="200"/>
        <w:rPr>
          <w:rFonts w:ascii="??_GB2312" w:eastAsia="Times New Roman"/>
          <w:kern w:val="2"/>
          <w:sz w:val="32"/>
          <w:szCs w:val="32"/>
        </w:rPr>
      </w:pPr>
      <w:r>
        <w:rPr>
          <w:rFonts w:ascii="??_GB2312" w:eastAsia="Times New Roman"/>
          <w:kern w:val="2"/>
          <w:sz w:val="32"/>
          <w:szCs w:val="32"/>
        </w:rPr>
        <w:t>11.公共安全支出（类）司法（款）法律援助（项）: ：反映各级法律援助机构用于开展法律援助工作的支出。</w:t>
      </w:r>
    </w:p>
    <w:p>
      <w:pPr>
        <w:spacing w:line="600" w:lineRule="exact"/>
        <w:ind w:firstLine="640" w:firstLineChars="200"/>
        <w:rPr>
          <w:rFonts w:ascii="??_GB2312" w:eastAsia="Times New Roman"/>
          <w:sz w:val="32"/>
          <w:szCs w:val="32"/>
        </w:rPr>
      </w:pPr>
      <w:r>
        <w:rPr>
          <w:rFonts w:ascii="??_GB2312" w:eastAsia="Times New Roman"/>
          <w:sz w:val="32"/>
          <w:szCs w:val="32"/>
        </w:rPr>
        <w:t>12.社会保障和就业（类）行政事业单位离退休（款）机关事业单位基本养老保险缴费支出（项）: 指实行归口管理的行政单位（包括实行公务员管理的事业单位）开支的基本养老保险缴费。</w:t>
      </w:r>
    </w:p>
    <w:p>
      <w:pPr>
        <w:spacing w:line="600" w:lineRule="exact"/>
        <w:ind w:firstLine="640" w:firstLineChars="200"/>
        <w:rPr>
          <w:rFonts w:ascii="??_GB2312" w:eastAsia="Times New Roman"/>
          <w:sz w:val="32"/>
          <w:szCs w:val="32"/>
        </w:rPr>
      </w:pPr>
      <w:r>
        <w:rPr>
          <w:rFonts w:ascii="??_GB2312" w:eastAsia="Times New Roman"/>
          <w:sz w:val="32"/>
          <w:szCs w:val="32"/>
        </w:rPr>
        <w:t>13.社会保障和就业（类）行政事业单位离退休（款）机关事业单位职业年金缴费支出（项）：指实行归口管理的行政单位（包括实行公务员管理的事业单位）开支的职业年金缴费。</w:t>
      </w:r>
    </w:p>
    <w:p>
      <w:pPr>
        <w:pStyle w:val="12"/>
        <w:widowControl/>
        <w:spacing w:beforeAutospacing="0" w:afterAutospacing="0" w:line="480" w:lineRule="atLeast"/>
        <w:ind w:firstLine="640" w:firstLineChars="200"/>
        <w:rPr>
          <w:rFonts w:ascii="??_GB2312" w:eastAsia="Times New Roman"/>
          <w:kern w:val="2"/>
          <w:sz w:val="32"/>
          <w:szCs w:val="32"/>
        </w:rPr>
      </w:pPr>
      <w:r>
        <w:rPr>
          <w:rFonts w:ascii="??_GB2312" w:eastAsia="Times New Roman"/>
          <w:kern w:val="2"/>
          <w:sz w:val="32"/>
          <w:szCs w:val="32"/>
        </w:rPr>
        <w:t>14.医疗卫生与计划生育（类）行政事业单位医疗（款）行政单位医疗（项）:反应财政部门集中安排的行政单位基本医疗保险缴费经费，未参加医疗保险的行政单位的公费医疗经费，按国家规定享受离休人员、老红军战士待遇人员的医疗经费。</w:t>
      </w:r>
    </w:p>
    <w:p>
      <w:pPr>
        <w:spacing w:line="600" w:lineRule="exact"/>
        <w:ind w:firstLine="640" w:firstLineChars="200"/>
        <w:rPr>
          <w:rFonts w:ascii="??_GB2312" w:eastAsia="Times New Roman"/>
          <w:sz w:val="32"/>
          <w:szCs w:val="32"/>
        </w:rPr>
      </w:pPr>
      <w:r>
        <w:rPr>
          <w:rFonts w:ascii="??_GB2312" w:eastAsia="Times New Roman"/>
          <w:sz w:val="32"/>
          <w:szCs w:val="32"/>
        </w:rPr>
        <w:t>15.医疗卫生与计划生育（类）行政事业单位医疗（款）公务员医疗补助（项）:反映财政部门集中安排的公务员医疗补助经费。</w:t>
      </w:r>
    </w:p>
    <w:p>
      <w:pPr>
        <w:pStyle w:val="12"/>
        <w:widowControl/>
        <w:spacing w:beforeAutospacing="0" w:afterAutospacing="0" w:line="480" w:lineRule="atLeast"/>
        <w:ind w:firstLine="640" w:firstLineChars="200"/>
        <w:rPr>
          <w:rFonts w:ascii="??_GB2312" w:hAnsi="Calibri" w:eastAsia="Times New Roman" w:cs="仿宋"/>
          <w:sz w:val="32"/>
          <w:szCs w:val="32"/>
        </w:rPr>
      </w:pPr>
      <w:r>
        <w:rPr>
          <w:rFonts w:ascii="??_GB2312" w:eastAsia="Times New Roman"/>
          <w:kern w:val="2"/>
          <w:sz w:val="32"/>
          <w:szCs w:val="32"/>
        </w:rPr>
        <w:t>16.住房保障支出（类）住房改革支出（款）住房公积金（项）:反应行政事业单位按人力资源和社会保障部、财政部规定的基本工资和津贴补贴以及规定比列为职工缴纳的住房公积金。</w:t>
      </w:r>
    </w:p>
    <w:p>
      <w:pPr>
        <w:ind w:firstLine="640" w:firstLineChars="200"/>
        <w:rPr>
          <w:rFonts w:ascii="??_GB2312" w:eastAsia="Times New Roman"/>
          <w:sz w:val="32"/>
          <w:szCs w:val="32"/>
        </w:rPr>
      </w:pPr>
      <w:r>
        <w:rPr>
          <w:rFonts w:ascii="??_GB2312" w:eastAsia="Times New Roman"/>
          <w:sz w:val="32"/>
          <w:szCs w:val="32"/>
        </w:rPr>
        <w:t>17.基本支出：指为保障机构正常运转、完成日常工作任务而发生的人员支出和公用支出。</w:t>
      </w:r>
    </w:p>
    <w:p>
      <w:pPr>
        <w:ind w:firstLine="640" w:firstLineChars="200"/>
        <w:rPr>
          <w:rFonts w:ascii="??_GB2312" w:eastAsia="Times New Roman"/>
          <w:sz w:val="32"/>
          <w:szCs w:val="32"/>
        </w:rPr>
      </w:pPr>
      <w:r>
        <w:rPr>
          <w:rFonts w:ascii="??_GB2312" w:eastAsia="Times New Roman"/>
          <w:sz w:val="32"/>
          <w:szCs w:val="32"/>
        </w:rPr>
        <w:t xml:space="preserve">18.项目支出：指在基本支出之外为完成特定行政任务和事业发展目标所发生的支出。 </w:t>
      </w:r>
    </w:p>
    <w:p>
      <w:pPr>
        <w:ind w:firstLine="640" w:firstLineChars="200"/>
        <w:rPr>
          <w:rFonts w:ascii="??_GB2312" w:eastAsia="Times New Roman"/>
          <w:sz w:val="32"/>
          <w:szCs w:val="32"/>
        </w:rPr>
      </w:pPr>
      <w:r>
        <w:rPr>
          <w:rFonts w:ascii="??_GB2312" w:eastAsia="Times New Roman"/>
          <w:sz w:val="32"/>
          <w:szCs w:val="32"/>
        </w:rPr>
        <w:t>19.经营支出：指事业单位在专业业务活动及其辅助活动之外开展非独立核算经营活动发生的支出。</w:t>
      </w:r>
    </w:p>
    <w:p>
      <w:pPr>
        <w:pStyle w:val="27"/>
        <w:spacing w:line="560" w:lineRule="exact"/>
        <w:ind w:firstLine="640" w:firstLineChars="200"/>
        <w:rPr>
          <w:rFonts w:ascii="??_GB2312" w:eastAsia="Times New Roman"/>
          <w:color w:val="auto"/>
          <w:sz w:val="32"/>
          <w:szCs w:val="32"/>
        </w:rPr>
      </w:pPr>
      <w:r>
        <w:rPr>
          <w:rFonts w:ascii="??_GB2312" w:eastAsia="Times New Roman"/>
          <w:color w:val="auto"/>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_GB2312" w:eastAsia="Times New Roman"/>
          <w:color w:val="auto"/>
          <w:sz w:val="32"/>
          <w:szCs w:val="32"/>
        </w:rPr>
      </w:pPr>
      <w:r>
        <w:rPr>
          <w:rFonts w:ascii="??_GB2312" w:eastAsia="Times New Roman"/>
          <w:color w:val="auto"/>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_GB2312" w:eastAsia="Times New Roman" w:cs="黑体"/>
          <w:color w:val="auto"/>
          <w:sz w:val="32"/>
          <w:szCs w:val="32"/>
        </w:rPr>
      </w:pPr>
    </w:p>
    <w:p>
      <w:pPr>
        <w:spacing w:line="600" w:lineRule="exact"/>
        <w:jc w:val="center"/>
        <w:outlineLvl w:val="0"/>
        <w:rPr>
          <w:rStyle w:val="17"/>
        </w:rPr>
      </w:pPr>
      <w:bookmarkStart w:id="60" w:name="_Toc15377226"/>
      <w:r>
        <w:rPr>
          <w:rFonts w:ascii="宋体"/>
          <w:b/>
          <w:sz w:val="44"/>
          <w:szCs w:val="44"/>
        </w:rPr>
        <w:br w:type="page"/>
      </w:r>
      <w:bookmarkStart w:id="61" w:name="_Toc16272"/>
      <w:r>
        <w:rPr>
          <w:rFonts w:hint="eastAsia" w:ascii="黑体" w:hAnsi="黑体" w:eastAsia="黑体"/>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61"/>
    </w:p>
    <w:p>
      <w:pPr>
        <w:pStyle w:val="3"/>
        <w:rPr>
          <w:rStyle w:val="17"/>
          <w:rFonts w:ascii="仿宋" w:hAnsi="仿宋" w:eastAsia="仿宋"/>
          <w:b w:val="0"/>
          <w:bCs w:val="0"/>
          <w:sz w:val="32"/>
          <w:szCs w:val="32"/>
        </w:rPr>
      </w:pPr>
      <w:bookmarkStart w:id="62" w:name="_Toc24613"/>
      <w:r>
        <w:rPr>
          <w:rStyle w:val="17"/>
          <w:rFonts w:hint="eastAsia" w:ascii="仿宋" w:hAnsi="仿宋" w:eastAsia="仿宋"/>
          <w:b w:val="0"/>
          <w:bCs w:val="0"/>
          <w:sz w:val="32"/>
          <w:szCs w:val="32"/>
        </w:rPr>
        <w:t>附件</w:t>
      </w:r>
      <w:r>
        <w:rPr>
          <w:rStyle w:val="17"/>
          <w:rFonts w:ascii="仿宋" w:hAnsi="仿宋" w:eastAsia="仿宋"/>
          <w:b w:val="0"/>
          <w:bCs w:val="0"/>
          <w:sz w:val="32"/>
          <w:szCs w:val="32"/>
        </w:rPr>
        <w:t>1</w:t>
      </w:r>
      <w:bookmarkEnd w:id="62"/>
    </w:p>
    <w:p>
      <w:pPr>
        <w:spacing w:line="600" w:lineRule="exact"/>
        <w:jc w:val="center"/>
        <w:outlineLvl w:val="0"/>
        <w:rPr>
          <w:rFonts w:ascii="黑体" w:hAnsi="黑体" w:eastAsia="黑体" w:cs="方正小标宋简体"/>
          <w:sz w:val="36"/>
          <w:szCs w:val="36"/>
        </w:rPr>
      </w:pPr>
      <w:bookmarkStart w:id="63" w:name="_Toc28457"/>
      <w:bookmarkStart w:id="64" w:name="_Toc15396616"/>
      <w:r>
        <w:rPr>
          <w:rFonts w:hint="eastAsia" w:ascii="黑体" w:hAnsi="黑体" w:eastAsia="黑体" w:cs="方正小标宋简体"/>
          <w:sz w:val="36"/>
          <w:szCs w:val="36"/>
        </w:rPr>
        <w:t>达川区司法局部门</w:t>
      </w:r>
    </w:p>
    <w:p>
      <w:pPr>
        <w:spacing w:line="600" w:lineRule="exact"/>
        <w:jc w:val="center"/>
        <w:outlineLvl w:val="0"/>
        <w:rPr>
          <w:rFonts w:ascii="黑体" w:hAnsi="黑体" w:eastAsia="黑体" w:cs="方正小标宋简体"/>
          <w:sz w:val="36"/>
          <w:szCs w:val="36"/>
        </w:rPr>
      </w:pP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63"/>
      <w:bookmarkEnd w:id="64"/>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（一）机构组成。</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区司法局系行政一级单位，下属单位有司法所</w:t>
      </w:r>
      <w:r>
        <w:rPr>
          <w:rFonts w:ascii="仿宋" w:hAnsi="仿宋" w:eastAsia="仿宋" w:cs="??_GB2312"/>
          <w:sz w:val="32"/>
          <w:szCs w:val="32"/>
        </w:rPr>
        <w:t>54</w:t>
      </w:r>
      <w:r>
        <w:rPr>
          <w:rFonts w:hint="eastAsia" w:ascii="仿宋" w:hAnsi="仿宋" w:eastAsia="仿宋" w:cs="??_GB2312"/>
          <w:sz w:val="32"/>
          <w:szCs w:val="32"/>
        </w:rPr>
        <w:t>个，公证处</w:t>
      </w:r>
      <w:r>
        <w:rPr>
          <w:rFonts w:ascii="仿宋" w:hAnsi="仿宋" w:eastAsia="仿宋" w:cs="??_GB2312"/>
          <w:sz w:val="32"/>
          <w:szCs w:val="32"/>
        </w:rPr>
        <w:t>1</w:t>
      </w:r>
      <w:r>
        <w:rPr>
          <w:rFonts w:hint="eastAsia" w:ascii="仿宋" w:hAnsi="仿宋" w:eastAsia="仿宋" w:cs="??_GB2312"/>
          <w:sz w:val="32"/>
          <w:szCs w:val="32"/>
        </w:rPr>
        <w:t>个，司法鉴定中心</w:t>
      </w:r>
      <w:r>
        <w:rPr>
          <w:rFonts w:ascii="仿宋" w:hAnsi="仿宋" w:eastAsia="仿宋" w:cs="??_GB2312"/>
          <w:sz w:val="32"/>
          <w:szCs w:val="32"/>
        </w:rPr>
        <w:t>1</w:t>
      </w:r>
      <w:r>
        <w:rPr>
          <w:rFonts w:hint="eastAsia" w:ascii="仿宋" w:hAnsi="仿宋" w:eastAsia="仿宋" w:cs="??_GB2312"/>
          <w:sz w:val="32"/>
          <w:szCs w:val="32"/>
        </w:rPr>
        <w:t>个，内设机构有法律援助中心</w:t>
      </w:r>
      <w:r>
        <w:rPr>
          <w:rFonts w:ascii="仿宋" w:hAnsi="仿宋" w:eastAsia="仿宋" w:cs="??_GB2312"/>
          <w:sz w:val="32"/>
          <w:szCs w:val="32"/>
        </w:rPr>
        <w:t>1</w:t>
      </w:r>
      <w:r>
        <w:rPr>
          <w:rFonts w:hint="eastAsia" w:ascii="仿宋" w:hAnsi="仿宋" w:eastAsia="仿宋" w:cs="??_GB2312"/>
          <w:sz w:val="32"/>
          <w:szCs w:val="32"/>
        </w:rPr>
        <w:t>人。司法局为一级预算单位，单位性质为行政单位。</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（二）机构职能。</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工作职责：贯彻执行国家关于司法行政工作的方针、政策和法律、法规及规章，制定工作发展规划、工作计划并组织实施；拟订普及法律常识规划和法制宣传教育工作计划并组织实施，指导全县各乡镇、各部门和各行业的法制宣传和依法治理工作</w:t>
      </w:r>
      <w:r>
        <w:rPr>
          <w:rFonts w:ascii="仿宋" w:hAnsi="仿宋" w:eastAsia="仿宋" w:cs="??_GB2312"/>
          <w:sz w:val="32"/>
          <w:szCs w:val="32"/>
        </w:rPr>
        <w:t>,</w:t>
      </w:r>
      <w:r>
        <w:rPr>
          <w:rFonts w:hint="eastAsia" w:ascii="仿宋" w:hAnsi="仿宋" w:eastAsia="仿宋" w:cs="??_GB2312"/>
          <w:sz w:val="32"/>
          <w:szCs w:val="32"/>
        </w:rPr>
        <w:t>承办县法制建设领导小组日常工作；负责指导、监督律师工作、公证工作；监督管理全县的法律援助工作；指导、监督管理基层司法所建设和人民调解、社区矫正、刑释解教人员安置帮教、基层法律服务工作；负责全县司法行政系统依法行政工作，监督管理所属社团组织；负责全县司法行政系统的计划、财务、服装、警车等装备的管理工作和系统内部审计工作；负责全县司法行政系统警务督察工作，根据上级有关制度和规范性文件组织实施；负责全县司法行政系统队伍建设和思想政治工作，负责本系统人事警务和干警培训工作；承担县政府公布的有关行政审批事项；增加指导管理社区矫正工作的职责；增加监督管理警务督察工作的职责。承办县委、县政府交办的其他事项。</w:t>
      </w:r>
    </w:p>
    <w:p>
      <w:pPr>
        <w:numPr>
          <w:ilvl w:val="0"/>
          <w:numId w:val="7"/>
        </w:numPr>
        <w:spacing w:line="580" w:lineRule="exact"/>
        <w:ind w:firstLine="640" w:firstLineChars="200"/>
        <w:rPr>
          <w:rFonts w:ascii="仿宋" w:hAnsi="仿宋" w:eastAsia="仿宋" w:cs="??_GB2312"/>
          <w:sz w:val="32"/>
          <w:szCs w:val="32"/>
        </w:rPr>
      </w:pPr>
      <w:r>
        <w:rPr>
          <w:rFonts w:hint="eastAsia" w:ascii="仿宋" w:hAnsi="仿宋" w:eastAsia="仿宋"/>
          <w:sz w:val="32"/>
          <w:szCs w:val="32"/>
        </w:rPr>
        <w:t>人员概况。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人员情况：司法局编制</w:t>
      </w:r>
      <w:r>
        <w:rPr>
          <w:rFonts w:ascii="仿宋" w:hAnsi="仿宋" w:eastAsia="仿宋" w:cs="??_GB2312"/>
          <w:sz w:val="32"/>
          <w:szCs w:val="32"/>
        </w:rPr>
        <w:t>97</w:t>
      </w:r>
      <w:r>
        <w:rPr>
          <w:rFonts w:hint="eastAsia" w:ascii="仿宋" w:hAnsi="仿宋" w:eastAsia="仿宋" w:cs="??_GB2312"/>
          <w:sz w:val="32"/>
          <w:szCs w:val="32"/>
        </w:rPr>
        <w:t>人，在职人员</w:t>
      </w:r>
      <w:r>
        <w:rPr>
          <w:rFonts w:ascii="仿宋" w:hAnsi="仿宋" w:eastAsia="仿宋" w:cs="??_GB2312"/>
          <w:sz w:val="32"/>
          <w:szCs w:val="32"/>
        </w:rPr>
        <w:t>80</w:t>
      </w:r>
      <w:r>
        <w:rPr>
          <w:rFonts w:hint="eastAsia" w:ascii="仿宋" w:hAnsi="仿宋" w:eastAsia="仿宋" w:cs="??_GB2312"/>
          <w:sz w:val="32"/>
          <w:szCs w:val="32"/>
        </w:rPr>
        <w:t>人，离退休人员</w:t>
      </w:r>
      <w:r>
        <w:rPr>
          <w:rFonts w:ascii="仿宋" w:hAnsi="仿宋" w:eastAsia="仿宋" w:cs="??_GB2312"/>
          <w:sz w:val="32"/>
          <w:szCs w:val="32"/>
        </w:rPr>
        <w:t>28</w:t>
      </w:r>
      <w:r>
        <w:rPr>
          <w:rFonts w:hint="eastAsia" w:ascii="仿宋" w:hAnsi="仿宋" w:eastAsia="仿宋" w:cs="??_GB2312"/>
          <w:sz w:val="32"/>
          <w:szCs w:val="32"/>
        </w:rPr>
        <w:t>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（一）部门财政资金收入情况。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（二）部门财政资金支出情况。</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（一）部门预算管理。</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（二）专项预算管理。</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（三）结果应用情况。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（一）评价结论。</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（二）存在问题。</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（三）改进建议。</w:t>
      </w:r>
    </w:p>
    <w:p>
      <w:pPr>
        <w:spacing w:line="580" w:lineRule="exact"/>
        <w:ind w:firstLine="640" w:firstLineChars="200"/>
        <w:rPr>
          <w:rFonts w:ascii="??_GB2312" w:hAnsi="??_GB2312" w:eastAsia="Times New Roman" w:cs="??_GB2312"/>
          <w:sz w:val="32"/>
          <w:szCs w:val="32"/>
        </w:rPr>
      </w:pPr>
    </w:p>
    <w:p>
      <w:pPr>
        <w:widowControl/>
        <w:jc w:val="left"/>
        <w:rPr>
          <w:rFonts w:ascii="??_GB2312" w:hAnsi="??_GB2312" w:eastAsia="Times New Roman" w:cs="??_GB2312"/>
          <w:sz w:val="32"/>
          <w:szCs w:val="32"/>
        </w:rPr>
      </w:pPr>
      <w:r>
        <w:rPr>
          <w:rFonts w:ascii="??_GB2312" w:hAnsi="??_GB2312" w:eastAsia="Times New Roman" w:cs="??_GB2312"/>
          <w:sz w:val="32"/>
          <w:szCs w:val="32"/>
        </w:rPr>
        <w:br w:type="page"/>
      </w:r>
    </w:p>
    <w:p>
      <w:pPr>
        <w:pStyle w:val="3"/>
        <w:rPr>
          <w:rStyle w:val="17"/>
          <w:rFonts w:ascii="仿宋" w:hAnsi="仿宋" w:eastAsia="仿宋"/>
          <w:b w:val="0"/>
          <w:bCs w:val="0"/>
          <w:sz w:val="32"/>
          <w:szCs w:val="32"/>
        </w:rPr>
      </w:pPr>
      <w:bookmarkStart w:id="65" w:name="_Toc26047"/>
      <w:r>
        <w:rPr>
          <w:rStyle w:val="17"/>
          <w:rFonts w:hint="eastAsia" w:ascii="仿宋" w:hAnsi="仿宋" w:eastAsia="仿宋"/>
          <w:b w:val="0"/>
          <w:bCs w:val="0"/>
          <w:sz w:val="32"/>
          <w:szCs w:val="32"/>
        </w:rPr>
        <w:t>附件</w:t>
      </w:r>
      <w:r>
        <w:rPr>
          <w:rStyle w:val="17"/>
          <w:rFonts w:ascii="仿宋" w:hAnsi="仿宋" w:eastAsia="仿宋"/>
          <w:b w:val="0"/>
          <w:bCs w:val="0"/>
          <w:sz w:val="32"/>
          <w:szCs w:val="32"/>
        </w:rPr>
        <w:t>2</w:t>
      </w:r>
      <w:bookmarkEnd w:id="65"/>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年项目支出绩效评价报告</w:t>
      </w:r>
    </w:p>
    <w:p>
      <w:pPr>
        <w:spacing w:line="580" w:lineRule="exact"/>
        <w:ind w:firstLine="640" w:firstLineChars="200"/>
        <w:rPr>
          <w:rFonts w:ascii="??_GB2312" w:hAnsi="??_GB2312" w:eastAsia="Times New Roman" w:cs="??_GB2312"/>
          <w:sz w:val="32"/>
          <w:szCs w:val="32"/>
        </w:rPr>
      </w:pP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一、评价工作开展及项目情况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项目评价实施方案情况（包括选点、评价指标、评价方法、基础数据表等情况）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二、评价结论及绩效分析</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（一）评价结论</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项目绩效评价总体结论（包括项目评价得分表）</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（二）绩效分析</w:t>
      </w:r>
    </w:p>
    <w:p>
      <w:pPr>
        <w:spacing w:line="580" w:lineRule="exact"/>
        <w:ind w:firstLine="640" w:firstLineChars="200"/>
        <w:rPr>
          <w:rFonts w:ascii="仿宋" w:hAnsi="仿宋" w:eastAsia="仿宋" w:cs="??_GB2312"/>
          <w:sz w:val="32"/>
          <w:szCs w:val="32"/>
        </w:rPr>
      </w:pPr>
      <w:r>
        <w:rPr>
          <w:rFonts w:ascii="仿宋" w:hAnsi="仿宋" w:eastAsia="仿宋" w:cs="??_GB2312"/>
          <w:sz w:val="32"/>
          <w:szCs w:val="32"/>
        </w:rPr>
        <w:t>1</w:t>
      </w:r>
      <w:r>
        <w:rPr>
          <w:rFonts w:hint="eastAsia" w:ascii="仿宋" w:hAnsi="仿宋" w:eastAsia="仿宋" w:cs="??_GB2312"/>
          <w:sz w:val="32"/>
          <w:szCs w:val="32"/>
        </w:rPr>
        <w:t>、项目决策</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_GB2312"/>
          <w:sz w:val="32"/>
          <w:szCs w:val="32"/>
        </w:rPr>
      </w:pPr>
      <w:r>
        <w:rPr>
          <w:rFonts w:ascii="仿宋" w:hAnsi="仿宋" w:eastAsia="仿宋" w:cs="??_GB2312"/>
          <w:sz w:val="32"/>
          <w:szCs w:val="32"/>
        </w:rPr>
        <w:t>2</w:t>
      </w:r>
      <w:r>
        <w:rPr>
          <w:rFonts w:hint="eastAsia" w:ascii="仿宋" w:hAnsi="仿宋" w:eastAsia="仿宋" w:cs="??_GB2312"/>
          <w:sz w:val="32"/>
          <w:szCs w:val="32"/>
        </w:rPr>
        <w:t>、项目管理</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_GB2312"/>
          <w:sz w:val="32"/>
          <w:szCs w:val="32"/>
        </w:rPr>
      </w:pPr>
      <w:r>
        <w:rPr>
          <w:rFonts w:ascii="仿宋" w:hAnsi="仿宋" w:eastAsia="仿宋" w:cs="??_GB2312"/>
          <w:sz w:val="32"/>
          <w:szCs w:val="32"/>
        </w:rPr>
        <w:t>3</w:t>
      </w:r>
      <w:r>
        <w:rPr>
          <w:rFonts w:hint="eastAsia" w:ascii="仿宋" w:hAnsi="仿宋" w:eastAsia="仿宋" w:cs="??_GB2312"/>
          <w:sz w:val="32"/>
          <w:szCs w:val="32"/>
        </w:rPr>
        <w:t>、项目绩效</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三、存在主要问题</w:t>
      </w:r>
    </w:p>
    <w:p>
      <w:pPr>
        <w:spacing w:line="580" w:lineRule="exact"/>
        <w:ind w:firstLine="640" w:firstLineChars="200"/>
        <w:rPr>
          <w:rStyle w:val="17"/>
          <w:rFonts w:ascii="仿宋" w:hAnsi="仿宋" w:eastAsia="仿宋" w:cs="??_GB2312"/>
          <w:b w:val="0"/>
          <w:bCs w:val="0"/>
          <w:kern w:val="2"/>
          <w:sz w:val="32"/>
          <w:szCs w:val="32"/>
        </w:rPr>
      </w:pPr>
      <w:r>
        <w:rPr>
          <w:rFonts w:hint="eastAsia" w:ascii="仿宋" w:hAnsi="仿宋" w:eastAsia="仿宋" w:cs="??_GB2312"/>
          <w:sz w:val="32"/>
          <w:szCs w:val="32"/>
        </w:rPr>
        <w:t>四、相关措施建议</w:t>
      </w:r>
    </w:p>
    <w:p>
      <w:pPr>
        <w:spacing w:line="600" w:lineRule="exact"/>
        <w:jc w:val="center"/>
        <w:outlineLvl w:val="0"/>
        <w:rPr>
          <w:rStyle w:val="17"/>
          <w:rFonts w:ascii="黑体" w:hAnsi="黑体" w:eastAsia="黑体"/>
          <w:b w:val="0"/>
        </w:rPr>
      </w:pPr>
      <w:bookmarkStart w:id="66" w:name="_Toc30025"/>
      <w:r>
        <w:rPr>
          <w:rFonts w:hint="eastAsia" w:ascii="黑体" w:hAnsi="黑体" w:eastAsia="黑体"/>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60"/>
      <w:bookmarkEnd w:id="66"/>
    </w:p>
    <w:p>
      <w:pPr>
        <w:spacing w:line="600" w:lineRule="exact"/>
        <w:jc w:val="center"/>
        <w:outlineLvl w:val="0"/>
        <w:rPr>
          <w:rFonts w:ascii="仿宋" w:hAnsi="仿宋" w:eastAsia="仿宋"/>
          <w:b/>
          <w:sz w:val="44"/>
          <w:szCs w:val="44"/>
        </w:rPr>
      </w:pPr>
    </w:p>
    <w:p>
      <w:pPr>
        <w:pStyle w:val="3"/>
        <w:rPr>
          <w:rFonts w:ascii="仿宋" w:hAnsi="仿宋" w:eastAsia="仿宋"/>
        </w:rPr>
      </w:pPr>
      <w:bookmarkStart w:id="67" w:name="_Toc4668"/>
      <w:r>
        <w:rPr>
          <w:rFonts w:hint="eastAsia" w:ascii="仿宋" w:hAnsi="仿宋" w:eastAsia="仿宋"/>
          <w:b w:val="0"/>
        </w:rPr>
        <w:t>一、收</w:t>
      </w:r>
      <w:r>
        <w:rPr>
          <w:rStyle w:val="18"/>
          <w:rFonts w:hint="eastAsia" w:ascii="仿宋" w:hAnsi="仿宋" w:eastAsia="仿宋"/>
          <w:b w:val="0"/>
          <w:bCs w:val="0"/>
        </w:rPr>
        <w:t>入支出决算总表</w:t>
      </w:r>
      <w:bookmarkEnd w:id="67"/>
    </w:p>
    <w:p>
      <w:pPr>
        <w:pStyle w:val="3"/>
        <w:rPr>
          <w:rFonts w:ascii="仿宋" w:hAnsi="仿宋" w:eastAsia="仿宋"/>
        </w:rPr>
      </w:pPr>
      <w:bookmarkStart w:id="68" w:name="_Toc10336"/>
      <w:r>
        <w:rPr>
          <w:rFonts w:hint="eastAsia" w:ascii="仿宋" w:hAnsi="仿宋" w:eastAsia="仿宋"/>
          <w:b w:val="0"/>
        </w:rPr>
        <w:t>二、收</w:t>
      </w:r>
      <w:r>
        <w:rPr>
          <w:rStyle w:val="18"/>
          <w:rFonts w:hint="eastAsia" w:ascii="仿宋" w:hAnsi="仿宋" w:eastAsia="仿宋"/>
          <w:b w:val="0"/>
          <w:bCs w:val="0"/>
        </w:rPr>
        <w:t>入总表</w:t>
      </w:r>
      <w:bookmarkEnd w:id="68"/>
    </w:p>
    <w:p>
      <w:pPr>
        <w:pStyle w:val="3"/>
        <w:rPr>
          <w:rFonts w:ascii="仿宋" w:hAnsi="仿宋" w:eastAsia="仿宋"/>
        </w:rPr>
      </w:pPr>
      <w:bookmarkStart w:id="69" w:name="_Toc28646"/>
      <w:r>
        <w:rPr>
          <w:rStyle w:val="18"/>
          <w:rFonts w:hint="eastAsia" w:ascii="仿宋" w:hAnsi="仿宋" w:eastAsia="仿宋"/>
          <w:b w:val="0"/>
          <w:bCs w:val="0"/>
        </w:rPr>
        <w:t>三、</w:t>
      </w:r>
      <w:r>
        <w:rPr>
          <w:rFonts w:hint="eastAsia" w:ascii="仿宋" w:hAnsi="仿宋" w:eastAsia="仿宋"/>
          <w:b w:val="0"/>
        </w:rPr>
        <w:t>支</w:t>
      </w:r>
      <w:r>
        <w:rPr>
          <w:rStyle w:val="18"/>
          <w:rFonts w:hint="eastAsia" w:ascii="仿宋" w:hAnsi="仿宋" w:eastAsia="仿宋"/>
          <w:b w:val="0"/>
          <w:bCs w:val="0"/>
        </w:rPr>
        <w:t>出总表</w:t>
      </w:r>
      <w:bookmarkEnd w:id="69"/>
    </w:p>
    <w:p>
      <w:pPr>
        <w:pStyle w:val="3"/>
        <w:rPr>
          <w:rFonts w:ascii="仿宋" w:hAnsi="仿宋" w:eastAsia="仿宋"/>
          <w:b w:val="0"/>
        </w:rPr>
      </w:pPr>
      <w:bookmarkStart w:id="70" w:name="_Toc18608"/>
      <w:r>
        <w:rPr>
          <w:rStyle w:val="18"/>
          <w:rFonts w:hint="eastAsia" w:ascii="仿宋" w:hAnsi="仿宋" w:eastAsia="仿宋"/>
          <w:b w:val="0"/>
          <w:bCs w:val="0"/>
        </w:rPr>
        <w:t>四、</w:t>
      </w:r>
      <w:r>
        <w:rPr>
          <w:rFonts w:hint="eastAsia" w:ascii="仿宋" w:hAnsi="仿宋" w:eastAsia="仿宋"/>
          <w:b w:val="0"/>
        </w:rPr>
        <w:t>财</w:t>
      </w:r>
      <w:r>
        <w:rPr>
          <w:rStyle w:val="18"/>
          <w:rFonts w:hint="eastAsia" w:ascii="仿宋" w:hAnsi="仿宋" w:eastAsia="仿宋"/>
          <w:b w:val="0"/>
          <w:bCs w:val="0"/>
        </w:rPr>
        <w:t>政拨款收入支出决算总表</w:t>
      </w:r>
      <w:bookmarkEnd w:id="70"/>
    </w:p>
    <w:p>
      <w:pPr>
        <w:pStyle w:val="3"/>
        <w:rPr>
          <w:rFonts w:ascii="仿宋" w:hAnsi="仿宋" w:eastAsia="仿宋"/>
        </w:rPr>
      </w:pPr>
      <w:bookmarkStart w:id="71" w:name="_Toc2226"/>
      <w:r>
        <w:rPr>
          <w:rStyle w:val="18"/>
          <w:rFonts w:hint="eastAsia" w:ascii="仿宋" w:hAnsi="仿宋" w:eastAsia="仿宋"/>
          <w:b w:val="0"/>
          <w:bCs w:val="0"/>
        </w:rPr>
        <w:t>五、</w:t>
      </w:r>
      <w:r>
        <w:rPr>
          <w:rFonts w:hint="eastAsia" w:ascii="仿宋" w:hAnsi="仿宋" w:eastAsia="仿宋"/>
          <w:b w:val="0"/>
        </w:rPr>
        <w:t>财</w:t>
      </w:r>
      <w:r>
        <w:rPr>
          <w:rStyle w:val="18"/>
          <w:rFonts w:hint="eastAsia" w:ascii="仿宋" w:hAnsi="仿宋" w:eastAsia="仿宋"/>
          <w:b w:val="0"/>
          <w:bCs w:val="0"/>
        </w:rPr>
        <w:t>政拨款支出决算明细表（政府经济分类科目）</w:t>
      </w:r>
      <w:bookmarkEnd w:id="71"/>
    </w:p>
    <w:p>
      <w:pPr>
        <w:pStyle w:val="3"/>
        <w:rPr>
          <w:rFonts w:ascii="仿宋" w:hAnsi="仿宋" w:eastAsia="仿宋"/>
        </w:rPr>
      </w:pPr>
      <w:bookmarkStart w:id="72" w:name="_Toc8258"/>
      <w:r>
        <w:rPr>
          <w:rStyle w:val="18"/>
          <w:rFonts w:hint="eastAsia" w:ascii="仿宋" w:hAnsi="仿宋" w:eastAsia="仿宋"/>
          <w:b w:val="0"/>
          <w:bCs w:val="0"/>
        </w:rPr>
        <w:t>六、</w:t>
      </w:r>
      <w:r>
        <w:rPr>
          <w:rFonts w:hint="eastAsia" w:ascii="仿宋" w:hAnsi="仿宋" w:eastAsia="仿宋"/>
          <w:b w:val="0"/>
        </w:rPr>
        <w:t>一</w:t>
      </w:r>
      <w:r>
        <w:rPr>
          <w:rStyle w:val="18"/>
          <w:rFonts w:hint="eastAsia" w:ascii="仿宋" w:hAnsi="仿宋" w:eastAsia="仿宋"/>
          <w:b w:val="0"/>
          <w:bCs w:val="0"/>
        </w:rPr>
        <w:t>般公共预算财政拨款支出决算表</w:t>
      </w:r>
      <w:bookmarkEnd w:id="72"/>
    </w:p>
    <w:p>
      <w:pPr>
        <w:pStyle w:val="3"/>
        <w:rPr>
          <w:rFonts w:ascii="仿宋" w:hAnsi="仿宋" w:eastAsia="仿宋"/>
        </w:rPr>
      </w:pPr>
      <w:bookmarkStart w:id="73" w:name="_Toc28351"/>
      <w:r>
        <w:rPr>
          <w:rStyle w:val="18"/>
          <w:rFonts w:hint="eastAsia" w:ascii="仿宋" w:hAnsi="仿宋" w:eastAsia="仿宋"/>
          <w:b w:val="0"/>
          <w:bCs w:val="0"/>
        </w:rPr>
        <w:t>七、</w:t>
      </w:r>
      <w:r>
        <w:rPr>
          <w:rFonts w:hint="eastAsia" w:ascii="仿宋" w:hAnsi="仿宋" w:eastAsia="仿宋"/>
          <w:b w:val="0"/>
        </w:rPr>
        <w:t>一</w:t>
      </w:r>
      <w:r>
        <w:rPr>
          <w:rStyle w:val="18"/>
          <w:rFonts w:hint="eastAsia" w:ascii="仿宋" w:hAnsi="仿宋" w:eastAsia="仿宋"/>
          <w:b w:val="0"/>
          <w:bCs w:val="0"/>
        </w:rPr>
        <w:t>般公共预算财政拨款支出决算明细表</w:t>
      </w:r>
      <w:bookmarkEnd w:id="73"/>
    </w:p>
    <w:p>
      <w:pPr>
        <w:pStyle w:val="3"/>
        <w:rPr>
          <w:rFonts w:ascii="仿宋" w:hAnsi="仿宋" w:eastAsia="仿宋"/>
        </w:rPr>
      </w:pPr>
      <w:bookmarkStart w:id="74" w:name="_Toc12271"/>
      <w:r>
        <w:rPr>
          <w:rStyle w:val="18"/>
          <w:rFonts w:hint="eastAsia" w:ascii="仿宋" w:hAnsi="仿宋" w:eastAsia="仿宋"/>
          <w:b w:val="0"/>
          <w:bCs w:val="0"/>
        </w:rPr>
        <w:t>八、</w:t>
      </w:r>
      <w:r>
        <w:rPr>
          <w:rFonts w:hint="eastAsia" w:ascii="仿宋" w:hAnsi="仿宋" w:eastAsia="仿宋"/>
          <w:b w:val="0"/>
        </w:rPr>
        <w:t>一</w:t>
      </w:r>
      <w:r>
        <w:rPr>
          <w:rStyle w:val="18"/>
          <w:rFonts w:hint="eastAsia" w:ascii="仿宋" w:hAnsi="仿宋" w:eastAsia="仿宋"/>
          <w:b w:val="0"/>
          <w:bCs w:val="0"/>
        </w:rPr>
        <w:t>般公共预算财政拨款基本支出决算表</w:t>
      </w:r>
      <w:bookmarkEnd w:id="74"/>
    </w:p>
    <w:p>
      <w:pPr>
        <w:pStyle w:val="3"/>
        <w:rPr>
          <w:rFonts w:ascii="仿宋" w:hAnsi="仿宋" w:eastAsia="仿宋"/>
        </w:rPr>
      </w:pPr>
      <w:bookmarkStart w:id="75" w:name="_Toc25047"/>
      <w:r>
        <w:rPr>
          <w:rStyle w:val="18"/>
          <w:rFonts w:hint="eastAsia" w:ascii="仿宋" w:hAnsi="仿宋" w:eastAsia="仿宋"/>
          <w:b w:val="0"/>
          <w:bCs w:val="0"/>
        </w:rPr>
        <w:t>九、</w:t>
      </w:r>
      <w:r>
        <w:rPr>
          <w:rFonts w:hint="eastAsia" w:ascii="仿宋" w:hAnsi="仿宋" w:eastAsia="仿宋"/>
          <w:b w:val="0"/>
        </w:rPr>
        <w:t>一</w:t>
      </w:r>
      <w:r>
        <w:rPr>
          <w:rStyle w:val="18"/>
          <w:rFonts w:hint="eastAsia" w:ascii="仿宋" w:hAnsi="仿宋" w:eastAsia="仿宋"/>
          <w:b w:val="0"/>
          <w:bCs w:val="0"/>
        </w:rPr>
        <w:t>般公共预算财政拨款项目支出决算表</w:t>
      </w:r>
      <w:bookmarkEnd w:id="75"/>
    </w:p>
    <w:p>
      <w:pPr>
        <w:pStyle w:val="3"/>
        <w:rPr>
          <w:rFonts w:ascii="仿宋" w:hAnsi="仿宋" w:eastAsia="仿宋"/>
        </w:rPr>
      </w:pPr>
      <w:bookmarkStart w:id="76" w:name="_Toc14695"/>
      <w:r>
        <w:rPr>
          <w:rStyle w:val="18"/>
          <w:rFonts w:hint="eastAsia" w:ascii="仿宋" w:hAnsi="仿宋" w:eastAsia="仿宋"/>
          <w:b w:val="0"/>
          <w:bCs w:val="0"/>
        </w:rPr>
        <w:t>十、</w:t>
      </w:r>
      <w:r>
        <w:rPr>
          <w:rFonts w:hint="eastAsia" w:ascii="仿宋" w:hAnsi="仿宋" w:eastAsia="仿宋"/>
          <w:b w:val="0"/>
        </w:rPr>
        <w:t>一</w:t>
      </w:r>
      <w:r>
        <w:rPr>
          <w:rStyle w:val="18"/>
          <w:rFonts w:hint="eastAsia" w:ascii="仿宋" w:hAnsi="仿宋" w:eastAsia="仿宋"/>
          <w:b w:val="0"/>
          <w:bCs w:val="0"/>
        </w:rPr>
        <w:t>般公共预算财政拨款“三公”经费支出决算表</w:t>
      </w:r>
      <w:bookmarkEnd w:id="76"/>
    </w:p>
    <w:p>
      <w:pPr>
        <w:pStyle w:val="3"/>
        <w:rPr>
          <w:rFonts w:ascii="仿宋" w:hAnsi="仿宋" w:eastAsia="仿宋"/>
        </w:rPr>
      </w:pPr>
      <w:bookmarkStart w:id="77" w:name="_Toc16845"/>
      <w:r>
        <w:rPr>
          <w:rStyle w:val="18"/>
          <w:rFonts w:hint="eastAsia" w:ascii="仿宋" w:hAnsi="仿宋" w:eastAsia="仿宋"/>
          <w:b w:val="0"/>
          <w:bCs w:val="0"/>
        </w:rPr>
        <w:t>十一、</w:t>
      </w:r>
      <w:r>
        <w:rPr>
          <w:rFonts w:hint="eastAsia" w:ascii="仿宋" w:hAnsi="仿宋" w:eastAsia="仿宋"/>
          <w:b w:val="0"/>
        </w:rPr>
        <w:t>政</w:t>
      </w:r>
      <w:r>
        <w:rPr>
          <w:rStyle w:val="18"/>
          <w:rFonts w:hint="eastAsia" w:ascii="仿宋" w:hAnsi="仿宋" w:eastAsia="仿宋"/>
          <w:b w:val="0"/>
          <w:bCs w:val="0"/>
        </w:rPr>
        <w:t>府性基金预算财政拨款收入支出决算表</w:t>
      </w:r>
      <w:bookmarkEnd w:id="77"/>
    </w:p>
    <w:p>
      <w:pPr>
        <w:pStyle w:val="3"/>
        <w:rPr>
          <w:rFonts w:ascii="仿宋" w:hAnsi="仿宋" w:eastAsia="仿宋"/>
        </w:rPr>
      </w:pPr>
      <w:bookmarkStart w:id="78" w:name="_Toc13964"/>
      <w:r>
        <w:rPr>
          <w:rStyle w:val="18"/>
          <w:rFonts w:hint="eastAsia" w:ascii="仿宋" w:hAnsi="仿宋" w:eastAsia="仿宋"/>
          <w:b w:val="0"/>
          <w:bCs w:val="0"/>
        </w:rPr>
        <w:t>十二、</w:t>
      </w:r>
      <w:r>
        <w:rPr>
          <w:rFonts w:hint="eastAsia" w:ascii="仿宋" w:hAnsi="仿宋" w:eastAsia="仿宋"/>
          <w:b w:val="0"/>
        </w:rPr>
        <w:t>政</w:t>
      </w:r>
      <w:r>
        <w:rPr>
          <w:rStyle w:val="18"/>
          <w:rFonts w:hint="eastAsia" w:ascii="仿宋" w:hAnsi="仿宋" w:eastAsia="仿宋"/>
          <w:b w:val="0"/>
          <w:bCs w:val="0"/>
        </w:rPr>
        <w:t>府性基金预算财政拨款“三公”经费支出决算表</w:t>
      </w:r>
      <w:bookmarkEnd w:id="78"/>
    </w:p>
    <w:p>
      <w:pPr>
        <w:pStyle w:val="3"/>
        <w:rPr>
          <w:rFonts w:ascii="仿宋" w:hAnsi="仿宋" w:eastAsia="仿宋"/>
        </w:rPr>
      </w:pPr>
      <w:bookmarkStart w:id="79" w:name="_Toc15594"/>
      <w:r>
        <w:rPr>
          <w:rStyle w:val="18"/>
          <w:rFonts w:hint="eastAsia" w:ascii="仿宋" w:hAnsi="仿宋" w:eastAsia="仿宋"/>
          <w:b w:val="0"/>
          <w:bCs w:val="0"/>
        </w:rPr>
        <w:t>十三、</w:t>
      </w:r>
      <w:r>
        <w:rPr>
          <w:rFonts w:hint="eastAsia" w:ascii="仿宋" w:hAnsi="仿宋" w:eastAsia="仿宋"/>
          <w:b w:val="0"/>
        </w:rPr>
        <w:t>国</w:t>
      </w:r>
      <w:r>
        <w:rPr>
          <w:rStyle w:val="18"/>
          <w:rFonts w:hint="eastAsia" w:ascii="仿宋" w:hAnsi="仿宋" w:eastAsia="仿宋"/>
          <w:b w:val="0"/>
          <w:bCs w:val="0"/>
        </w:rPr>
        <w:t>有资本经营预算支出决算表</w:t>
      </w:r>
      <w:bookmarkEnd w:id="7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15</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rPr>
        <w:rFonts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6">
    <w:nsid w:val="2BE925CF"/>
    <w:multiLevelType w:val="singleLevel"/>
    <w:tmpl w:val="2BE925CF"/>
    <w:lvl w:ilvl="0" w:tentative="0">
      <w:start w:val="2"/>
      <w:numFmt w:val="chineseCounting"/>
      <w:suff w:val="nothing"/>
      <w:lvlText w:val="（%1）"/>
      <w:lvlJc w:val="left"/>
      <w:rPr>
        <w:rFonts w:hint="eastAsia" w:cs="Times New Roman"/>
      </w:r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00FCD"/>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7756E"/>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534D"/>
    <w:rsid w:val="00A16847"/>
    <w:rsid w:val="00A237D8"/>
    <w:rsid w:val="00A268C4"/>
    <w:rsid w:val="00A307CD"/>
    <w:rsid w:val="00A40A00"/>
    <w:rsid w:val="00A4142F"/>
    <w:rsid w:val="00A56DF2"/>
    <w:rsid w:val="00A663B6"/>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16BE8"/>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FEF7DC2"/>
    <w:rsid w:val="10C055FF"/>
    <w:rsid w:val="16BB723D"/>
    <w:rsid w:val="181E000C"/>
    <w:rsid w:val="240371BF"/>
    <w:rsid w:val="28EB1558"/>
    <w:rsid w:val="29FD04D3"/>
    <w:rsid w:val="2B73241C"/>
    <w:rsid w:val="319F7F4E"/>
    <w:rsid w:val="38C62018"/>
    <w:rsid w:val="3C736551"/>
    <w:rsid w:val="5E310814"/>
    <w:rsid w:val="622F418F"/>
    <w:rsid w:val="64C05538"/>
    <w:rsid w:val="705E38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uiPriority w:val="99"/>
    <w:pPr>
      <w:spacing w:beforeLines="30"/>
    </w:pPr>
    <w:rPr>
      <w:rFonts w:ascii="??_GB2312" w:eastAsia="Times New Roman"/>
      <w:kern w:val="0"/>
      <w:sz w:val="24"/>
      <w:szCs w:val="20"/>
    </w:rPr>
  </w:style>
  <w:style w:type="paragraph" w:styleId="6">
    <w:name w:val="toc 3"/>
    <w:basedOn w:val="1"/>
    <w:next w:val="1"/>
    <w:uiPriority w:val="99"/>
    <w:pPr>
      <w:tabs>
        <w:tab w:val="right" w:leader="dot" w:pos="8296"/>
      </w:tabs>
      <w:ind w:left="840" w:leftChars="400"/>
    </w:pPr>
  </w:style>
  <w:style w:type="paragraph" w:styleId="7">
    <w:name w:val="Balloon Text"/>
    <w:basedOn w:val="1"/>
    <w:link w:val="21"/>
    <w:semiHidden/>
    <w:uiPriority w:val="99"/>
    <w:rPr>
      <w:sz w:val="18"/>
      <w:szCs w:val="18"/>
    </w:rPr>
  </w:style>
  <w:style w:type="paragraph" w:styleId="8">
    <w:name w:val="footer"/>
    <w:basedOn w:val="1"/>
    <w:link w:val="25"/>
    <w:uiPriority w:val="99"/>
    <w:pPr>
      <w:tabs>
        <w:tab w:val="center" w:pos="4153"/>
        <w:tab w:val="right" w:pos="8306"/>
      </w:tabs>
      <w:snapToGrid w:val="0"/>
      <w:jc w:val="left"/>
    </w:pPr>
    <w:rPr>
      <w:kern w:val="0"/>
      <w:sz w:val="18"/>
      <w:szCs w:val="20"/>
    </w:rPr>
  </w:style>
  <w:style w:type="paragraph" w:styleId="9">
    <w:name w:val="header"/>
    <w:basedOn w:val="1"/>
    <w:link w:val="24"/>
    <w:semiHidden/>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uiPriority w:val="99"/>
    <w:pPr>
      <w:tabs>
        <w:tab w:val="right" w:leader="dot" w:pos="8296"/>
      </w:tabs>
      <w:spacing w:before="93"/>
      <w:jc w:val="center"/>
    </w:pPr>
    <w:rPr>
      <w:rFonts w:ascii="仿宋" w:hAnsi="仿宋" w:eastAsia="仿宋"/>
      <w:sz w:val="28"/>
      <w:szCs w:val="28"/>
    </w:rPr>
  </w:style>
  <w:style w:type="paragraph" w:styleId="11">
    <w:name w:val="toc 2"/>
    <w:basedOn w:val="1"/>
    <w:next w:val="1"/>
    <w:uiPriority w:val="99"/>
    <w:pPr>
      <w:tabs>
        <w:tab w:val="right" w:leader="dot" w:pos="8296"/>
      </w:tabs>
      <w:ind w:left="420" w:leftChars="200"/>
    </w:pPr>
  </w:style>
  <w:style w:type="paragraph" w:styleId="12">
    <w:name w:val="Normal (Web)"/>
    <w:basedOn w:val="1"/>
    <w:uiPriority w:val="99"/>
    <w:pPr>
      <w:spacing w:beforeAutospacing="1" w:afterAutospacing="1"/>
      <w:jc w:val="left"/>
    </w:pPr>
    <w:rPr>
      <w:kern w:val="0"/>
      <w:sz w:val="24"/>
    </w:rPr>
  </w:style>
  <w:style w:type="character" w:styleId="15">
    <w:name w:val="Strong"/>
    <w:basedOn w:val="14"/>
    <w:qFormat/>
    <w:uiPriority w:val="99"/>
    <w:rPr>
      <w:rFonts w:cs="Times New Roman"/>
      <w:b/>
    </w:rPr>
  </w:style>
  <w:style w:type="character" w:styleId="16">
    <w:name w:val="Hyperlink"/>
    <w:basedOn w:val="14"/>
    <w:uiPriority w:val="99"/>
    <w:rPr>
      <w:rFonts w:cs="Times New Roman"/>
      <w:color w:val="0000FF"/>
      <w:u w:val="single"/>
    </w:rPr>
  </w:style>
  <w:style w:type="character" w:customStyle="1" w:styleId="17">
    <w:name w:val="Heading 1 Char"/>
    <w:basedOn w:val="14"/>
    <w:link w:val="2"/>
    <w:locked/>
    <w:uiPriority w:val="99"/>
    <w:rPr>
      <w:rFonts w:ascii="Times New Roman" w:hAnsi="Times New Roman" w:cs="Times New Roman"/>
      <w:b/>
      <w:bCs/>
      <w:kern w:val="44"/>
      <w:sz w:val="44"/>
      <w:szCs w:val="44"/>
    </w:rPr>
  </w:style>
  <w:style w:type="character" w:customStyle="1" w:styleId="18">
    <w:name w:val="Heading 2 Char"/>
    <w:basedOn w:val="14"/>
    <w:link w:val="3"/>
    <w:locked/>
    <w:uiPriority w:val="99"/>
    <w:rPr>
      <w:rFonts w:ascii="Cambria" w:hAnsi="Cambria" w:eastAsia="宋体" w:cs="Times New Roman"/>
      <w:b/>
      <w:bCs/>
      <w:kern w:val="2"/>
      <w:sz w:val="32"/>
      <w:szCs w:val="32"/>
    </w:rPr>
  </w:style>
  <w:style w:type="character" w:customStyle="1" w:styleId="19">
    <w:name w:val="Heading 3 Char"/>
    <w:basedOn w:val="14"/>
    <w:link w:val="4"/>
    <w:locked/>
    <w:uiPriority w:val="99"/>
    <w:rPr>
      <w:rFonts w:ascii="Times New Roman" w:hAnsi="Times New Roman" w:cs="Times New Roman"/>
      <w:b/>
      <w:bCs/>
      <w:kern w:val="2"/>
      <w:sz w:val="32"/>
      <w:szCs w:val="32"/>
    </w:rPr>
  </w:style>
  <w:style w:type="character" w:customStyle="1" w:styleId="20">
    <w:name w:val="Body Text Char"/>
    <w:basedOn w:val="14"/>
    <w:link w:val="5"/>
    <w:semiHidden/>
    <w:uiPriority w:val="99"/>
    <w:rPr>
      <w:rFonts w:ascii="Times New Roman" w:hAnsi="Times New Roman" w:cs="Times New Roman"/>
      <w:sz w:val="24"/>
      <w:szCs w:val="24"/>
    </w:rPr>
  </w:style>
  <w:style w:type="character" w:customStyle="1" w:styleId="21">
    <w:name w:val="Balloon Text Char"/>
    <w:basedOn w:val="14"/>
    <w:link w:val="7"/>
    <w:semiHidden/>
    <w:locked/>
    <w:uiPriority w:val="99"/>
    <w:rPr>
      <w:rFonts w:ascii="Times New Roman" w:hAnsi="Times New Roman" w:cs="Times New Roman"/>
      <w:kern w:val="2"/>
      <w:sz w:val="18"/>
      <w:szCs w:val="18"/>
    </w:rPr>
  </w:style>
  <w:style w:type="character" w:customStyle="1" w:styleId="22">
    <w:name w:val="Footer Char"/>
    <w:basedOn w:val="14"/>
    <w:link w:val="8"/>
    <w:semiHidden/>
    <w:uiPriority w:val="99"/>
    <w:rPr>
      <w:rFonts w:ascii="Times New Roman" w:hAnsi="Times New Roman" w:cs="Times New Roman"/>
      <w:sz w:val="18"/>
      <w:szCs w:val="18"/>
    </w:rPr>
  </w:style>
  <w:style w:type="character" w:customStyle="1" w:styleId="23">
    <w:name w:val="Header Char"/>
    <w:basedOn w:val="14"/>
    <w:link w:val="9"/>
    <w:semiHidden/>
    <w:uiPriority w:val="99"/>
    <w:rPr>
      <w:rFonts w:ascii="Times New Roman" w:hAnsi="Times New Roman" w:cs="Times New Roman"/>
      <w:sz w:val="18"/>
      <w:szCs w:val="18"/>
    </w:rPr>
  </w:style>
  <w:style w:type="character" w:customStyle="1" w:styleId="24">
    <w:name w:val="Header Char1"/>
    <w:link w:val="9"/>
    <w:semiHidden/>
    <w:qFormat/>
    <w:locked/>
    <w:uiPriority w:val="99"/>
    <w:rPr>
      <w:sz w:val="18"/>
    </w:rPr>
  </w:style>
  <w:style w:type="character" w:customStyle="1" w:styleId="25">
    <w:name w:val="Footer Char1"/>
    <w:link w:val="8"/>
    <w:qFormat/>
    <w:locked/>
    <w:uiPriority w:val="99"/>
    <w:rPr>
      <w:sz w:val="18"/>
    </w:rPr>
  </w:style>
  <w:style w:type="character" w:customStyle="1" w:styleId="26">
    <w:name w:val="Body Text Char1"/>
    <w:link w:val="5"/>
    <w:qFormat/>
    <w:locked/>
    <w:uiPriority w:val="99"/>
    <w:rPr>
      <w:rFonts w:ascii="??_GB2312" w:hAnsi="Times New Roman" w:eastAsia="Times New Roman"/>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26</Pages>
  <Words>1566</Words>
  <Characters>8930</Characters>
  <Lines>0</Lines>
  <Paragraphs>0</Paragraphs>
  <TotalTime>49</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2019-08-26T11:26:00Z</cp:lastPrinted>
  <dcterms:modified xsi:type="dcterms:W3CDTF">2021-12-06T07:18:38Z</dcterms:modified>
  <dc:title>四川省***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33EFDE4C701643C4A46F1F5F0D6CB9FB</vt:lpwstr>
  </property>
</Properties>
</file>