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bookmarkStart w:id="75" w:name="_GoBack"/>
    </w:p>
    <w:p>
      <w:pPr>
        <w:adjustRightInd w:val="0"/>
        <w:snapToGrid w:val="0"/>
        <w:spacing w:line="360" w:lineRule="auto"/>
        <w:jc w:val="center"/>
        <w:outlineLvl w:val="0"/>
        <w:rPr>
          <w:rFonts w:hint="eastAsia" w:asciiTheme="majorEastAsia" w:hAnsiTheme="majorEastAsia" w:eastAsiaTheme="majorEastAsia" w:cstheme="majorEastAsia"/>
          <w:b/>
          <w:bCs/>
          <w:color w:val="000000"/>
          <w:sz w:val="52"/>
          <w:szCs w:val="52"/>
        </w:rPr>
      </w:pPr>
      <w:bookmarkStart w:id="1" w:name="_Toc15396475"/>
      <w:bookmarkStart w:id="2" w:name="_Toc15378441"/>
      <w:bookmarkStart w:id="3" w:name="_Toc15377193"/>
      <w:bookmarkStart w:id="4" w:name="_Toc15396597"/>
      <w:bookmarkStart w:id="5" w:name="_Toc15377425"/>
      <w:r>
        <w:rPr>
          <w:rFonts w:hint="eastAsia" w:asciiTheme="majorEastAsia" w:hAnsiTheme="majorEastAsia" w:eastAsiaTheme="majorEastAsia" w:cstheme="majorEastAsia"/>
          <w:b/>
          <w:bCs/>
          <w:color w:val="000000"/>
          <w:sz w:val="52"/>
          <w:szCs w:val="52"/>
        </w:rPr>
        <w:t>2019年度</w:t>
      </w:r>
      <w:bookmarkEnd w:id="1"/>
      <w:bookmarkEnd w:id="2"/>
      <w:bookmarkEnd w:id="3"/>
      <w:bookmarkEnd w:id="4"/>
      <w:bookmarkEnd w:id="5"/>
    </w:p>
    <w:p>
      <w:pPr>
        <w:adjustRightInd w:val="0"/>
        <w:snapToGrid w:val="0"/>
        <w:spacing w:line="360" w:lineRule="auto"/>
        <w:jc w:val="center"/>
        <w:outlineLvl w:val="0"/>
        <w:rPr>
          <w:rFonts w:hint="eastAsia" w:asciiTheme="majorEastAsia" w:hAnsiTheme="majorEastAsia" w:eastAsiaTheme="majorEastAsia" w:cstheme="majorEastAsia"/>
          <w:b/>
          <w:bCs/>
          <w:color w:val="000000"/>
          <w:sz w:val="52"/>
          <w:szCs w:val="52"/>
        </w:rPr>
      </w:pPr>
      <w:bookmarkStart w:id="6" w:name="_Toc15396598"/>
      <w:bookmarkStart w:id="7" w:name="_Toc15377194"/>
      <w:bookmarkStart w:id="8" w:name="_Toc15378442"/>
      <w:bookmarkStart w:id="9" w:name="_Toc15396476"/>
      <w:bookmarkStart w:id="10" w:name="_Toc15377426"/>
      <w:r>
        <w:rPr>
          <w:rFonts w:hint="eastAsia" w:asciiTheme="majorEastAsia" w:hAnsiTheme="majorEastAsia" w:eastAsiaTheme="majorEastAsia" w:cstheme="majorEastAsia"/>
          <w:b/>
          <w:bCs/>
          <w:color w:val="000000"/>
          <w:sz w:val="52"/>
          <w:szCs w:val="52"/>
        </w:rPr>
        <w:t>达州市达川区</w:t>
      </w:r>
      <w:bookmarkEnd w:id="0"/>
      <w:bookmarkStart w:id="11" w:name="_Toc15306268"/>
      <w:r>
        <w:rPr>
          <w:rFonts w:hint="eastAsia" w:asciiTheme="majorEastAsia" w:hAnsiTheme="majorEastAsia" w:eastAsiaTheme="majorEastAsia" w:cstheme="majorEastAsia"/>
          <w:b/>
          <w:bCs/>
          <w:color w:val="000000"/>
          <w:sz w:val="52"/>
          <w:szCs w:val="52"/>
          <w:lang w:eastAsia="zh-CN"/>
        </w:rPr>
        <w:t>信访局</w:t>
      </w:r>
      <w:r>
        <w:rPr>
          <w:rFonts w:hint="eastAsia" w:asciiTheme="majorEastAsia" w:hAnsiTheme="majorEastAsia" w:eastAsiaTheme="majorEastAsia" w:cstheme="majorEastAsia"/>
          <w:b/>
          <w:bCs/>
          <w:color w:val="000000"/>
          <w:sz w:val="52"/>
          <w:szCs w:val="52"/>
        </w:rPr>
        <w:t>部门决算</w:t>
      </w:r>
      <w:bookmarkEnd w:id="6"/>
      <w:bookmarkEnd w:id="7"/>
      <w:bookmarkEnd w:id="8"/>
      <w:bookmarkEnd w:id="9"/>
      <w:bookmarkEnd w:id="10"/>
      <w:bookmarkEnd w:id="11"/>
    </w:p>
    <w:p>
      <w:pPr>
        <w:adjustRightInd w:val="0"/>
        <w:snapToGrid w:val="0"/>
        <w:spacing w:line="360" w:lineRule="auto"/>
        <w:jc w:val="center"/>
        <w:outlineLvl w:val="0"/>
        <w:rPr>
          <w:rFonts w:hint="eastAsia" w:asciiTheme="majorEastAsia" w:hAnsiTheme="majorEastAsia" w:eastAsiaTheme="majorEastAsia" w:cstheme="majorEastAsia"/>
          <w:b/>
          <w:bCs/>
          <w:color w:val="000000"/>
          <w:sz w:val="52"/>
          <w:szCs w:val="52"/>
        </w:rPr>
      </w:pPr>
      <w:r>
        <w:rPr>
          <w:rFonts w:hint="eastAsia" w:asciiTheme="majorEastAsia" w:hAnsiTheme="majorEastAsia" w:eastAsiaTheme="majorEastAsia" w:cstheme="majorEastAsia"/>
          <w:b/>
          <w:bCs/>
          <w:color w:val="000000"/>
          <w:sz w:val="52"/>
          <w:szCs w:val="52"/>
        </w:rPr>
        <w:t>编制说明</w:t>
      </w:r>
    </w:p>
    <w:bookmarkEnd w:id="75"/>
    <w:p>
      <w:pPr>
        <w:widowControl/>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numPr>
          <w:ilvl w:val="0"/>
          <w:numId w:val="1"/>
        </w:numPr>
        <w:rPr>
          <w:rStyle w:val="25"/>
          <w:rFonts w:hint="eastAsia" w:ascii="仿宋_GB2312" w:hAnsi="仿宋_GB2312" w:eastAsia="仿宋_GB2312" w:cs="仿宋_GB2312"/>
          <w:b w:val="0"/>
          <w:bCs w:val="0"/>
        </w:rPr>
      </w:pPr>
      <w:bookmarkStart w:id="14" w:name="_Toc15396600"/>
      <w:bookmarkStart w:id="15" w:name="_Toc15377197"/>
      <w:r>
        <w:rPr>
          <w:rFonts w:hint="eastAsia" w:ascii="仿宋_GB2312" w:hAnsi="仿宋_GB2312" w:eastAsia="仿宋_GB2312" w:cs="仿宋_GB2312"/>
          <w:b w:val="0"/>
          <w:color w:val="000000"/>
        </w:rPr>
        <w:t>基</w:t>
      </w:r>
      <w:r>
        <w:rPr>
          <w:rStyle w:val="25"/>
          <w:rFonts w:hint="eastAsia" w:ascii="仿宋_GB2312" w:hAnsi="仿宋_GB2312" w:eastAsia="仿宋_GB2312" w:cs="仿宋_GB2312"/>
          <w:b w:val="0"/>
          <w:bCs w:val="0"/>
        </w:rPr>
        <w:t>本职能及主要工作</w:t>
      </w:r>
      <w:bookmarkEnd w:id="14"/>
      <w:bookmarkEnd w:id="15"/>
      <w:bookmarkStart w:id="16" w:name="_Toc15378445"/>
      <w:bookmarkStart w:id="17" w:name="_Toc15377198"/>
    </w:p>
    <w:p>
      <w:pPr>
        <w:pStyle w:val="3"/>
        <w:numPr>
          <w:ilvl w:val="0"/>
          <w:numId w:val="2"/>
        </w:numPr>
        <w:ind w:firstLine="643"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主要职能</w:t>
      </w:r>
      <w:bookmarkEnd w:id="16"/>
      <w:bookmarkEnd w:id="17"/>
    </w:p>
    <w:p>
      <w:pPr>
        <w:pStyle w:val="3"/>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达州市达川区信访局的主要</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贯彻落实党和国家信访工作的方针、政策和法律法规，拟定全区信访工作制度以及工作方案并组织实施。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负责受理、交办、转送信访人提出的信访事项。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承办上级和区委、区政府领导批示交办的以及上级信访部门交办的信访事项。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协调处理“三跨三分离”和越级上访的重要信访事项和突出信访问题。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研究、分析信访情况，开展调查研究，及时向区委、区政府提出政策完善的建议。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对区政府其他工作部门和各乡、镇（街道）信访工作机构的信访工作进行指导；组织全区信访干部培训。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督促检查信访事项的处理，对未按规定办理信访事项的责任单位提出改进工作的建议和对有关责任人员给予处分的建议。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承担区政府信访事项复查具体工作，负责区政府复查复核委员会的日常工作。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负责信访工作的宣传和信息发布。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负责对所属单位的领导和管理。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承办区委区政府交办的其他工作。</w:t>
      </w:r>
    </w:p>
    <w:p>
      <w:pPr>
        <w:pStyle w:val="5"/>
        <w:adjustRightInd w:val="0"/>
        <w:snapToGrid w:val="0"/>
        <w:spacing w:before="93" w:line="600" w:lineRule="exact"/>
        <w:ind w:firstLine="672" w:firstLineChars="210"/>
        <w:outlineLvl w:val="2"/>
        <w:rPr>
          <w:rFonts w:hint="eastAsia" w:ascii="仿宋_GB2312" w:hAnsi="仿宋_GB2312" w:eastAsia="仿宋_GB2312" w:cs="仿宋_GB2312"/>
          <w:bCs/>
          <w:color w:val="000000"/>
          <w:sz w:val="32"/>
          <w:szCs w:val="32"/>
        </w:rPr>
      </w:pPr>
      <w:bookmarkStart w:id="18" w:name="_Toc15377199"/>
      <w:bookmarkStart w:id="19" w:name="_Toc15378446"/>
      <w:r>
        <w:rPr>
          <w:rFonts w:hint="eastAsia" w:ascii="仿宋_GB2312" w:hAnsi="仿宋_GB2312" w:eastAsia="仿宋_GB2312" w:cs="仿宋_GB2312"/>
          <w:bCs/>
          <w:color w:val="000000"/>
          <w:sz w:val="32"/>
          <w:szCs w:val="32"/>
        </w:rPr>
        <w:t>（二）2019年重点工作完成情况。</w:t>
      </w:r>
      <w:bookmarkEnd w:id="18"/>
      <w:bookmarkEnd w:id="19"/>
    </w:p>
    <w:p>
      <w:pPr>
        <w:spacing w:line="578" w:lineRule="exact"/>
        <w:ind w:firstLine="619" w:firstLineChars="200"/>
        <w:rPr>
          <w:rFonts w:hint="eastAsia" w:ascii="仿宋_GB2312" w:hAnsi="仿宋_GB2312" w:eastAsia="仿宋_GB2312" w:cs="仿宋_GB2312"/>
          <w:b/>
          <w:sz w:val="32"/>
          <w:szCs w:val="32"/>
        </w:rPr>
      </w:pPr>
      <w:r>
        <w:rPr>
          <w:rFonts w:hint="eastAsia" w:ascii="仿宋_GB2312" w:hAnsi="仿宋_GB2312" w:eastAsia="仿宋_GB2312" w:cs="仿宋_GB2312"/>
          <w:b/>
          <w:spacing w:val="-6"/>
          <w:sz w:val="32"/>
          <w:szCs w:val="32"/>
        </w:rPr>
        <w:t>（一）讲政治，始终如一忠诚担当</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上级组织导向引领。区委常委会、区政府常委办先后召开会议学习传达习近平总书记对信访工作的重要指示批示精神和郭声琨、肖捷同志在国家信访局调研时讲话精神，对全区信访稳定工作作出研究部署。区信访工作联席会议每季度召开信访工作联席会议，分析研究信访形势，协调解决重大信访问题，有效保证了全区信访工作组织领导坚强有力。</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坚定正确政治方向。牢牢把握意识形态工作总要求，坚持把政治建设摆在首位，提高政治站位，把准政治方向，严守政治规矩，树牢“四个意识”、坚定“四个自信”，把“两个维护”贯穿信访工作全过程，有效保证了习近平总书记重要指示批示和党中央决策部署落地生根、开花结果。认真落实全面从严治党要求，把纪律和规矩挺在前面，持之以恒加强纪律作风建设，以“人民满意窗口”创建活动为抓手，按照提位、提质、提神、提气的要求不断提升服务质量，坚决纠正信访工作中的不作为、慢作为、敷衍塞责等问题，以作风进一步转变促业务水平提升。</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全力抓好本职工作。全区信访系统认真学习领会</w:t>
      </w:r>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rPr>
        <w:t>关于加强和改进人民信访工作的重要论述和信访工作的重要指示批示精神，自觉把以人民为中心的发展思想贯穿于信访工作全过程，带着感情和责任做群众工作、化解矛盾、解决问题，紧密结合信访工作实际，找准贯彻落实</w:t>
      </w:r>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rPr>
        <w:t>重要批示的结合点、着力点，进一步夯实了做好信访工作的思想根基，做好新时代信访工作的政治自觉、思想自觉、行动自觉不断增强。</w:t>
      </w:r>
    </w:p>
    <w:p>
      <w:pPr>
        <w:spacing w:line="578" w:lineRule="exact"/>
        <w:ind w:firstLine="619" w:firstLineChars="200"/>
        <w:rPr>
          <w:rFonts w:hint="eastAsia" w:ascii="仿宋_GB2312" w:hAnsi="仿宋_GB2312" w:eastAsia="仿宋_GB2312" w:cs="仿宋_GB2312"/>
          <w:b/>
          <w:sz w:val="32"/>
          <w:szCs w:val="32"/>
        </w:rPr>
      </w:pPr>
      <w:r>
        <w:rPr>
          <w:rFonts w:hint="eastAsia" w:ascii="仿宋_GB2312" w:hAnsi="仿宋_GB2312" w:eastAsia="仿宋_GB2312" w:cs="仿宋_GB2312"/>
          <w:b/>
          <w:spacing w:val="-6"/>
          <w:sz w:val="32"/>
          <w:szCs w:val="32"/>
        </w:rPr>
        <w:t>（二）重基础，抓实做细业务工作。</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认真抓好</w:t>
      </w:r>
      <w:r>
        <w:rPr>
          <w:rFonts w:hint="eastAsia" w:ascii="仿宋_GB2312" w:hAnsi="仿宋_GB2312" w:eastAsia="仿宋_GB2312" w:cs="仿宋_GB2312"/>
          <w:color w:val="000000"/>
          <w:sz w:val="32"/>
          <w:szCs w:val="32"/>
        </w:rPr>
        <w:t>来信来访办理工作。截止到11月30日，</w:t>
      </w:r>
      <w:r>
        <w:rPr>
          <w:rFonts w:hint="eastAsia" w:ascii="仿宋_GB2312" w:hAnsi="仿宋_GB2312" w:eastAsia="仿宋_GB2312" w:cs="仿宋_GB2312"/>
          <w:sz w:val="32"/>
          <w:szCs w:val="32"/>
        </w:rPr>
        <w:t>共</w:t>
      </w:r>
      <w:r>
        <w:rPr>
          <w:rFonts w:hint="eastAsia" w:ascii="仿宋_GB2312" w:hAnsi="仿宋_GB2312" w:eastAsia="仿宋_GB2312" w:cs="仿宋_GB2312"/>
          <w:kern w:val="0"/>
          <w:sz w:val="32"/>
          <w:szCs w:val="32"/>
        </w:rPr>
        <w:t>受理网上直转来信 128 件，已经办结120件，其中8件正在办理之中，比去年同期下降15.5%；受理人民网网民给省委书记、省长留言46件（其中：给省委书记留言33件、给省长留言13件），已办结13件，到期办结率100%；受理网上投诉转送件210件，已办结210件，到期办结率100%；受理领导信箱57件，已办结57件，到期办结率100%；</w:t>
      </w:r>
      <w:r>
        <w:rPr>
          <w:rFonts w:hint="eastAsia" w:ascii="仿宋_GB2312" w:hAnsi="仿宋_GB2312" w:eastAsia="仿宋_GB2312" w:cs="仿宋_GB2312"/>
          <w:sz w:val="32"/>
          <w:szCs w:val="32"/>
        </w:rPr>
        <w:t>受理“民情说吧”信访事项0件。全区共发生越级上访220批405人次。我区驻京工作组外围化解未登记56批59人次、驻蓉工作组外围化解未登记55批90人次。</w:t>
      </w:r>
      <w:r>
        <w:rPr>
          <w:rFonts w:hint="eastAsia" w:ascii="仿宋_GB2312" w:hAnsi="仿宋_GB2312" w:eastAsia="仿宋_GB2312" w:cs="仿宋_GB2312"/>
          <w:kern w:val="0"/>
          <w:sz w:val="32"/>
          <w:szCs w:val="32"/>
        </w:rPr>
        <w:t>区本级受理群众来访951批4434人次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认真抓好</w:t>
      </w:r>
      <w:r>
        <w:rPr>
          <w:rFonts w:hint="eastAsia" w:ascii="仿宋_GB2312" w:hAnsi="仿宋_GB2312" w:eastAsia="仿宋_GB2312" w:cs="仿宋_GB2312"/>
          <w:color w:val="000000"/>
          <w:sz w:val="32"/>
          <w:szCs w:val="32"/>
        </w:rPr>
        <w:t>矛盾纠纷排查化解工作。截止到11月30日，全区共开展定期排查33次。</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认真抓好</w:t>
      </w:r>
      <w:r>
        <w:rPr>
          <w:rFonts w:hint="eastAsia" w:ascii="仿宋_GB2312" w:hAnsi="仿宋_GB2312" w:eastAsia="仿宋_GB2312" w:cs="仿宋_GB2312"/>
          <w:color w:val="000000"/>
          <w:sz w:val="32"/>
          <w:szCs w:val="32"/>
        </w:rPr>
        <w:t>信访案件办理工作。截止到11月30日，共受理办理中央和省、市交办件66件，到期办结64件，到期办结率100%；受理省委第八巡视组交办件1098件，到期办结893件，到期办结率100%。</w:t>
      </w:r>
    </w:p>
    <w:p>
      <w:pPr>
        <w:spacing w:line="578" w:lineRule="exact"/>
        <w:ind w:firstLine="619"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spacing w:val="-6"/>
          <w:sz w:val="32"/>
          <w:szCs w:val="32"/>
        </w:rPr>
        <w:t>（三）抓统筹，扎实推进重点工作。</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认真抓好</w:t>
      </w:r>
      <w:r>
        <w:rPr>
          <w:rFonts w:hint="eastAsia" w:ascii="仿宋_GB2312" w:hAnsi="仿宋_GB2312" w:eastAsia="仿宋_GB2312" w:cs="仿宋_GB2312"/>
          <w:color w:val="000000"/>
          <w:sz w:val="32"/>
          <w:szCs w:val="32"/>
        </w:rPr>
        <w:t>领导接访下访包案工作。今年以来，15名区级领导在区群众接待中心和自主接待来访群众59批786人次，16</w:t>
      </w:r>
      <w:r>
        <w:rPr>
          <w:rFonts w:hint="eastAsia" w:ascii="仿宋_GB2312" w:hAnsi="仿宋_GB2312" w:eastAsia="仿宋_GB2312" w:cs="仿宋_GB2312"/>
          <w:sz w:val="32"/>
          <w:szCs w:val="32"/>
        </w:rPr>
        <w:t>名区委、区政府领导先后预约接访35批202人次，带案下访255次。</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认真抓好</w:t>
      </w:r>
      <w:r>
        <w:rPr>
          <w:rFonts w:hint="eastAsia" w:ascii="仿宋_GB2312" w:hAnsi="仿宋_GB2312" w:eastAsia="仿宋_GB2312" w:cs="仿宋_GB2312"/>
          <w:color w:val="000000"/>
          <w:sz w:val="32"/>
          <w:szCs w:val="32"/>
        </w:rPr>
        <w:t>信访工作责任落实。</w:t>
      </w:r>
      <w:r>
        <w:rPr>
          <w:rFonts w:hint="eastAsia" w:ascii="仿宋_GB2312" w:hAnsi="仿宋_GB2312" w:eastAsia="仿宋_GB2312" w:cs="仿宋_GB2312"/>
          <w:sz w:val="32"/>
          <w:szCs w:val="32"/>
        </w:rPr>
        <w:t>压实初信初访首接首办责任，督促属地和责任单位切实承担起化解本辖区、本领域职责范围内信访问题的责任，探索和推广让群众“最多访一次”的做法，信访工作效率进一步提高。将信访工作纳入党委政府督查范围，适时组织专项督查，及时通报督查结果，明确责任主体和问责追究，推动层层信访责任落实，以责任到位确保工作到位、任务到位和目标到位。</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认真抓好</w:t>
      </w:r>
      <w:r>
        <w:rPr>
          <w:rFonts w:hint="eastAsia" w:ascii="仿宋_GB2312" w:hAnsi="仿宋_GB2312" w:eastAsia="仿宋_GB2312" w:cs="仿宋_GB2312"/>
          <w:color w:val="000000"/>
          <w:sz w:val="32"/>
          <w:szCs w:val="32"/>
        </w:rPr>
        <w:t>省委第八巡视组交办信访案件办理工作。2019年10月8日至11月15日，省委第八巡视组入驻达川区期间，市信联办共转送省委第八巡视组交办1098件信访案件（民生类）。按照《四川省信访局关于进一步规范信访事项受理办理程序引导来访人依法逐级走访的办法》要求，每件信访事项严格做到实体性合规和程序性规范，区信联办制发了《关于办理省委第八巡视组巡视达川区期间信访案件有关事项的紧急通知》（达川信联办〔2019〕34号），明确了工作任务和要求。我局严格按照程序、办理质量和时间要求，全面办结省委第八巡视组交办信访案件893件。</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认真抓好</w:t>
      </w:r>
      <w:r>
        <w:rPr>
          <w:rFonts w:hint="eastAsia" w:ascii="仿宋_GB2312" w:hAnsi="仿宋_GB2312" w:eastAsia="仿宋_GB2312" w:cs="仿宋_GB2312"/>
          <w:color w:val="000000"/>
          <w:sz w:val="32"/>
          <w:szCs w:val="32"/>
        </w:rPr>
        <w:t>信访统筹督查工作。今年以来，我局制发了《关于区级领导包案督导化解重点信访事项的通知》（达川信联办〔2019〕7号）、《关于做好全国“两会”、亚洲文明对话大会和“一带一路”国际合作高峰论坛期间信访稳定工作的通知》</w:t>
      </w:r>
      <w:bookmarkStart w:id="20" w:name="OLE_LINK4"/>
      <w:bookmarkStart w:id="21" w:name="OLE_LINK3"/>
      <w:r>
        <w:rPr>
          <w:rFonts w:hint="eastAsia" w:ascii="仿宋_GB2312" w:hAnsi="仿宋_GB2312" w:eastAsia="仿宋_GB2312" w:cs="仿宋_GB2312"/>
          <w:color w:val="000000"/>
          <w:sz w:val="32"/>
          <w:szCs w:val="32"/>
        </w:rPr>
        <w:t>（达川信联办〔2019〕3号）</w:t>
      </w:r>
      <w:bookmarkEnd w:id="20"/>
      <w:bookmarkEnd w:id="21"/>
      <w:r>
        <w:rPr>
          <w:rFonts w:hint="eastAsia" w:ascii="仿宋_GB2312" w:hAnsi="仿宋_GB2312" w:eastAsia="仿宋_GB2312" w:cs="仿宋_GB2312"/>
          <w:color w:val="000000"/>
          <w:sz w:val="32"/>
          <w:szCs w:val="32"/>
        </w:rPr>
        <w:t>、《关于做好全国全省“两会”以及春节期间信访维稳工作的紧急通知》（达川政法〔2019〕2号）等相关文件，先后12次对乡镇、区级部门在全国、全省“两会”和全市、全区“三会”以及新中国成立70周年庆典期间等政治敏感时期的信访工作安排落实等情况开展了专项督查，对236名曾进京赴蓉上访重点人员稳控措施落实情况进行了专项督查，对省市挂牌督办的信访案件进行重点督查，对22件领导接访的案件进行了跟踪督查，推动了信访问题得到解决。对网上信访案件的接收、办理回复共进行了专项督查，进一步加强信访案件办理的规范化，提高了办理实效和办理质量。</w:t>
      </w:r>
      <w:r>
        <w:rPr>
          <w:rFonts w:hint="eastAsia" w:ascii="仿宋_GB2312" w:hAnsi="仿宋_GB2312" w:eastAsia="仿宋_GB2312" w:cs="仿宋_GB2312"/>
          <w:b/>
          <w:spacing w:val="-6"/>
          <w:sz w:val="32"/>
          <w:szCs w:val="32"/>
        </w:rPr>
        <w:t>（四）盯亮点，特色工作持续升温。</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纵深推进“315”群众工作法落地见效。</w:t>
      </w:r>
      <w:r>
        <w:rPr>
          <w:rFonts w:hint="eastAsia" w:ascii="仿宋_GB2312" w:hAnsi="仿宋_GB2312" w:eastAsia="仿宋_GB2312" w:cs="仿宋_GB2312"/>
          <w:color w:val="000000"/>
          <w:sz w:val="32"/>
          <w:szCs w:val="32"/>
        </w:rPr>
        <w:t>我局持续深入推行“315”群众工作法，在全区深化依法治访法制基础上，印制了“315”群众工作法宣传读本，免费向全区各乡镇（街道）发放，增加认知度；坚持“315”群众工作法在信访工作中的主导地位，把依法治理信访问题推向深入，把依法处理信访问题常态化，着力推动了一大批信访突出问题的解决。</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深入落实信访“四无单位”创建活动。区委、区政府印发了《关于表扬百节镇等单位为2018年度信访工作“四无单位”的通报》（达川委〔2019〕88号），对成功创建的</w:t>
      </w:r>
      <w:r>
        <w:rPr>
          <w:rFonts w:hint="eastAsia" w:ascii="仿宋_GB2312" w:hAnsi="仿宋_GB2312" w:eastAsia="仿宋_GB2312" w:cs="仿宋_GB2312"/>
          <w:color w:val="000000"/>
          <w:sz w:val="32"/>
          <w:szCs w:val="32"/>
        </w:rPr>
        <w:t>33</w:t>
      </w:r>
      <w:r>
        <w:rPr>
          <w:rFonts w:hint="eastAsia" w:ascii="仿宋_GB2312" w:hAnsi="仿宋_GB2312" w:eastAsia="仿宋_GB2312" w:cs="仿宋_GB2312"/>
          <w:sz w:val="32"/>
          <w:szCs w:val="32"/>
        </w:rPr>
        <w:t>个单位</w:t>
      </w:r>
      <w:r>
        <w:rPr>
          <w:rFonts w:hint="eastAsia" w:ascii="仿宋_GB2312" w:hAnsi="仿宋_GB2312" w:eastAsia="仿宋_GB2312" w:cs="仿宋_GB2312"/>
          <w:kern w:val="0"/>
          <w:sz w:val="32"/>
          <w:szCs w:val="32"/>
        </w:rPr>
        <w:t>予以通报表扬奖励。</w:t>
      </w:r>
      <w:r>
        <w:rPr>
          <w:rFonts w:hint="eastAsia" w:ascii="仿宋_GB2312" w:hAnsi="仿宋_GB2312" w:eastAsia="仿宋_GB2312" w:cs="仿宋_GB2312"/>
          <w:sz w:val="32"/>
          <w:szCs w:val="32"/>
        </w:rPr>
        <w:t>区委办、区政府办印发了《关于开展2019年度信访工作“四无单位”创建活动的通知》（达川委办〔2019〕71号），明确了2019年创建工作目标，</w:t>
      </w:r>
      <w:r>
        <w:rPr>
          <w:rFonts w:hint="eastAsia" w:ascii="仿宋_GB2312" w:hAnsi="仿宋_GB2312" w:eastAsia="仿宋_GB2312" w:cs="仿宋_GB2312"/>
          <w:color w:val="000000"/>
          <w:sz w:val="32"/>
          <w:szCs w:val="32"/>
        </w:rPr>
        <w:t>不断拓展创建外延。全区各乡、镇（街道）在创建活动中共梳理排查信访问题352件，化解229件，将问题化解在当地，从源头上减少越级访和进京非访的发生。</w:t>
      </w:r>
      <w:r>
        <w:rPr>
          <w:rFonts w:hint="eastAsia" w:ascii="仿宋_GB2312" w:hAnsi="仿宋_GB2312" w:eastAsia="仿宋_GB2312" w:cs="仿宋_GB2312"/>
          <w:b/>
          <w:sz w:val="32"/>
          <w:szCs w:val="32"/>
        </w:rPr>
        <w:t>三是</w:t>
      </w:r>
      <w:r>
        <w:rPr>
          <w:rFonts w:hint="eastAsia" w:ascii="仿宋_GB2312" w:hAnsi="仿宋_GB2312" w:eastAsia="仿宋_GB2312" w:cs="仿宋_GB2312"/>
          <w:color w:val="000000"/>
          <w:sz w:val="32"/>
          <w:szCs w:val="32"/>
        </w:rPr>
        <w:t>集中整治信访突出问题。</w:t>
      </w:r>
      <w:r>
        <w:rPr>
          <w:rFonts w:hint="eastAsia" w:ascii="仿宋_GB2312" w:hAnsi="仿宋_GB2312" w:eastAsia="仿宋_GB2312" w:cs="仿宋_GB2312"/>
          <w:sz w:val="32"/>
          <w:szCs w:val="32"/>
        </w:rPr>
        <w:t>自全区开展“不忘初心、牢记使命”主题教育以来，我局将重点信访问题的集中整治工作</w:t>
      </w:r>
      <w:r>
        <w:rPr>
          <w:rFonts w:hint="eastAsia" w:ascii="仿宋_GB2312" w:hAnsi="仿宋_GB2312" w:eastAsia="仿宋_GB2312" w:cs="仿宋_GB2312"/>
          <w:spacing w:val="-6"/>
          <w:sz w:val="32"/>
          <w:szCs w:val="32"/>
        </w:rPr>
        <w:t>作为主题教育的一个重要部分和当前一项紧要的政治任务来抓。</w:t>
      </w:r>
      <w:r>
        <w:rPr>
          <w:rFonts w:hint="eastAsia" w:ascii="仿宋_GB2312" w:hAnsi="仿宋_GB2312" w:eastAsia="仿宋_GB2312" w:cs="仿宋_GB2312"/>
          <w:sz w:val="32"/>
          <w:szCs w:val="32"/>
        </w:rPr>
        <w:t>经过排查梳理，将45件信访突出问题纳入集中整治范畴</w:t>
      </w:r>
      <w:r>
        <w:rPr>
          <w:rFonts w:hint="eastAsia" w:ascii="仿宋_GB2312" w:hAnsi="仿宋_GB2312" w:eastAsia="仿宋_GB2312" w:cs="仿宋_GB2312"/>
          <w:color w:val="000000"/>
          <w:sz w:val="32"/>
          <w:szCs w:val="32"/>
        </w:rPr>
        <w:t>。</w:t>
      </w:r>
    </w:p>
    <w:p>
      <w:pPr>
        <w:pStyle w:val="3"/>
        <w:pageBreakBefore w:val="0"/>
        <w:widowControl w:val="0"/>
        <w:kinsoku/>
        <w:wordWrap/>
        <w:overflowPunct/>
        <w:topLinePunct w:val="0"/>
        <w:autoSpaceDE/>
        <w:autoSpaceDN/>
        <w:bidi w:val="0"/>
        <w:spacing w:before="0" w:after="0" w:line="578" w:lineRule="exact"/>
        <w:textAlignment w:val="auto"/>
        <w:rPr>
          <w:rStyle w:val="25"/>
          <w:rFonts w:hint="eastAsia" w:ascii="仿宋_GB2312" w:hAnsi="仿宋_GB2312" w:eastAsia="仿宋_GB2312" w:cs="仿宋_GB2312"/>
          <w:b w:val="0"/>
          <w:bCs w:val="0"/>
        </w:rPr>
      </w:pPr>
      <w:bookmarkStart w:id="22" w:name="_Toc15377200"/>
      <w:bookmarkStart w:id="23" w:name="_Toc15396601"/>
      <w:r>
        <w:rPr>
          <w:rFonts w:hint="eastAsia" w:ascii="仿宋_GB2312" w:hAnsi="仿宋_GB2312" w:eastAsia="仿宋_GB2312" w:cs="仿宋_GB2312"/>
          <w:b w:val="0"/>
          <w:color w:val="000000"/>
        </w:rPr>
        <w:t>二、机</w:t>
      </w:r>
      <w:r>
        <w:rPr>
          <w:rStyle w:val="25"/>
          <w:rFonts w:hint="eastAsia" w:ascii="仿宋_GB2312" w:hAnsi="仿宋_GB2312" w:eastAsia="仿宋_GB2312" w:cs="仿宋_GB2312"/>
          <w:b w:val="0"/>
          <w:bCs w:val="0"/>
        </w:rPr>
        <w:t>构设置</w:t>
      </w:r>
      <w:bookmarkEnd w:id="22"/>
      <w:bookmarkEnd w:id="23"/>
    </w:p>
    <w:p>
      <w:pPr>
        <w:pageBreakBefore w:val="0"/>
        <w:widowControl w:val="0"/>
        <w:kinsoku/>
        <w:wordWrap/>
        <w:overflowPunct/>
        <w:topLinePunct w:val="0"/>
        <w:autoSpaceDE/>
        <w:autoSpaceDN/>
        <w:bidi w:val="0"/>
        <w:spacing w:line="578"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达州市达川区信访</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pStyle w:val="5"/>
        <w:pageBreakBefore w:val="0"/>
        <w:widowControl w:val="0"/>
        <w:numPr>
          <w:ilvl w:val="0"/>
          <w:numId w:val="0"/>
        </w:numPr>
        <w:kinsoku/>
        <w:wordWrap/>
        <w:overflowPunct/>
        <w:topLinePunct w:val="0"/>
        <w:autoSpaceDE/>
        <w:autoSpaceDN/>
        <w:bidi w:val="0"/>
        <w:adjustRightInd w:val="0"/>
        <w:snapToGrid w:val="0"/>
        <w:spacing w:beforeLines="0" w:line="578" w:lineRule="exact"/>
        <w:ind w:firstLine="640" w:firstLineChars="200"/>
        <w:textAlignment w:val="auto"/>
        <w:outlineLvl w:val="2"/>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纳入</w:t>
      </w:r>
      <w:r>
        <w:rPr>
          <w:rFonts w:hint="eastAsia" w:ascii="仿宋_GB2312" w:hAnsi="仿宋_GB2312" w:eastAsia="仿宋_GB2312" w:cs="仿宋_GB2312"/>
          <w:color w:val="000000"/>
          <w:sz w:val="32"/>
          <w:szCs w:val="32"/>
          <w:lang w:eastAsia="zh-CN"/>
        </w:rPr>
        <w:t>达州市达川区信访局</w:t>
      </w:r>
      <w:r>
        <w:rPr>
          <w:rFonts w:hint="eastAsia" w:ascii="仿宋_GB2312" w:hAnsi="仿宋_GB2312" w:eastAsia="仿宋_GB2312" w:cs="仿宋_GB2312"/>
          <w:color w:val="000000"/>
          <w:sz w:val="32"/>
          <w:szCs w:val="32"/>
        </w:rPr>
        <w:t>2019年度部门决算编制范围的二级预算单位</w:t>
      </w:r>
      <w:r>
        <w:rPr>
          <w:rFonts w:hint="eastAsia" w:ascii="仿宋_GB2312" w:hAnsi="仿宋_GB2312" w:eastAsia="仿宋_GB2312" w:cs="仿宋_GB2312"/>
          <w:color w:val="000000"/>
          <w:sz w:val="32"/>
          <w:szCs w:val="32"/>
          <w:lang w:eastAsia="zh-CN"/>
        </w:rPr>
        <w:t>无</w:t>
      </w:r>
      <w:bookmarkStart w:id="24" w:name="_Toc15377204"/>
      <w:bookmarkStart w:id="25" w:name="_Toc15396602"/>
      <w:r>
        <w:rPr>
          <w:rFonts w:hint="eastAsia" w:hAnsi="仿宋_GB2312" w:cs="仿宋_GB2312"/>
          <w:color w:val="000000"/>
          <w:sz w:val="32"/>
          <w:szCs w:val="32"/>
          <w:lang w:eastAsia="zh-CN"/>
        </w:rPr>
        <w:t>。</w:t>
      </w:r>
    </w:p>
    <w:p>
      <w:pPr>
        <w:pStyle w:val="5"/>
        <w:pageBreakBefore w:val="0"/>
        <w:widowControl w:val="0"/>
        <w:numPr>
          <w:ilvl w:val="0"/>
          <w:numId w:val="0"/>
        </w:numPr>
        <w:kinsoku/>
        <w:wordWrap/>
        <w:overflowPunct/>
        <w:topLinePunct w:val="0"/>
        <w:autoSpaceDE/>
        <w:autoSpaceDN/>
        <w:bidi w:val="0"/>
        <w:adjustRightInd w:val="0"/>
        <w:snapToGrid w:val="0"/>
        <w:spacing w:beforeLines="0" w:line="578" w:lineRule="exact"/>
        <w:ind w:firstLine="640" w:firstLineChars="200"/>
        <w:textAlignment w:val="auto"/>
        <w:outlineLvl w:val="2"/>
        <w:rPr>
          <w:rFonts w:hint="eastAsia" w:ascii="仿宋_GB2312" w:hAnsi="仿宋_GB2312" w:eastAsia="仿宋_GB2312" w:cs="仿宋_GB2312"/>
          <w:color w:val="000000"/>
          <w:sz w:val="32"/>
          <w:szCs w:val="32"/>
          <w:lang w:eastAsia="zh-CN"/>
        </w:rPr>
      </w:pPr>
    </w:p>
    <w:p>
      <w:pPr>
        <w:pStyle w:val="2"/>
        <w:pageBreakBefore w:val="0"/>
        <w:widowControl w:val="0"/>
        <w:kinsoku/>
        <w:wordWrap/>
        <w:overflowPunct/>
        <w:topLinePunct w:val="0"/>
        <w:autoSpaceDE/>
        <w:autoSpaceDN/>
        <w:bidi w:val="0"/>
        <w:spacing w:before="0" w:after="0" w:line="578" w:lineRule="exact"/>
        <w:ind w:right="440"/>
        <w:jc w:val="right"/>
        <w:textAlignment w:val="auto"/>
        <w:rPr>
          <w:rFonts w:hint="eastAsia" w:ascii="仿宋_GB2312" w:hAnsi="仿宋_GB2312" w:eastAsia="仿宋_GB2312" w:cs="仿宋_GB2312"/>
        </w:rPr>
      </w:pPr>
      <w:r>
        <w:rPr>
          <w:rFonts w:hint="eastAsia" w:ascii="仿宋_GB2312" w:hAnsi="仿宋_GB2312" w:eastAsia="仿宋_GB2312" w:cs="仿宋_GB2312"/>
          <w:b w:val="0"/>
          <w:color w:val="000000"/>
        </w:rPr>
        <w:t>第二部分</w:t>
      </w:r>
      <w:r>
        <w:rPr>
          <w:rFonts w:hint="eastAsia" w:ascii="仿宋_GB2312" w:hAnsi="仿宋_GB2312" w:eastAsia="仿宋_GB2312" w:cs="仿宋_GB2312"/>
          <w:color w:val="000000"/>
        </w:rPr>
        <w:t xml:space="preserve"> </w:t>
      </w:r>
      <w:r>
        <w:rPr>
          <w:rStyle w:val="24"/>
          <w:rFonts w:hint="eastAsia" w:ascii="仿宋_GB2312" w:hAnsi="仿宋_GB2312" w:eastAsia="仿宋_GB2312" w:cs="仿宋_GB2312"/>
          <w:b w:val="0"/>
          <w:bCs w:val="0"/>
        </w:rPr>
        <w:t>2019年度部门决算情况说明</w:t>
      </w:r>
      <w:bookmarkEnd w:id="24"/>
      <w:bookmarkEnd w:id="25"/>
    </w:p>
    <w:p>
      <w:pPr>
        <w:pStyle w:val="23"/>
        <w:pageBreakBefore w:val="0"/>
        <w:widowControl w:val="0"/>
        <w:numPr>
          <w:ilvl w:val="0"/>
          <w:numId w:val="3"/>
        </w:numPr>
        <w:kinsoku/>
        <w:wordWrap/>
        <w:overflowPunct/>
        <w:topLinePunct w:val="0"/>
        <w:autoSpaceDE/>
        <w:autoSpaceDN/>
        <w:bidi w:val="0"/>
        <w:spacing w:line="578" w:lineRule="exact"/>
        <w:ind w:firstLineChars="0"/>
        <w:textAlignment w:val="auto"/>
        <w:outlineLvl w:val="1"/>
        <w:rPr>
          <w:rStyle w:val="25"/>
          <w:rFonts w:hint="eastAsia" w:ascii="仿宋_GB2312" w:hAnsi="仿宋_GB2312" w:eastAsia="仿宋_GB2312" w:cs="仿宋_GB2312"/>
          <w:b w:val="0"/>
        </w:rPr>
      </w:pPr>
      <w:bookmarkStart w:id="26" w:name="_Toc15377205"/>
      <w:bookmarkStart w:id="27" w:name="_Toc15396603"/>
      <w:r>
        <w:rPr>
          <w:rFonts w:hint="eastAsia" w:ascii="仿宋_GB2312" w:hAnsi="仿宋_GB2312" w:eastAsia="仿宋_GB2312" w:cs="仿宋_GB2312"/>
          <w:color w:val="000000"/>
          <w:sz w:val="32"/>
          <w:szCs w:val="32"/>
        </w:rPr>
        <w:t>收</w:t>
      </w:r>
      <w:r>
        <w:rPr>
          <w:rStyle w:val="25"/>
          <w:rFonts w:hint="eastAsia" w:ascii="仿宋_GB2312" w:hAnsi="仿宋_GB2312" w:eastAsia="仿宋_GB2312" w:cs="仿宋_GB2312"/>
          <w:b w:val="0"/>
        </w:rPr>
        <w:t>入支出决算总体情况说明</w:t>
      </w:r>
      <w:bookmarkEnd w:id="26"/>
      <w:bookmarkEnd w:id="27"/>
    </w:p>
    <w:p>
      <w:pPr>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2019年度收、</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val="en-US" w:eastAsia="zh-CN"/>
        </w:rPr>
        <w:t>575.50</w:t>
      </w:r>
      <w:r>
        <w:rPr>
          <w:rFonts w:hint="eastAsia" w:ascii="仿宋_GB2312" w:hAnsi="仿宋_GB2312" w:eastAsia="仿宋_GB2312" w:cs="仿宋_GB2312"/>
          <w:color w:val="000000"/>
          <w:sz w:val="32"/>
          <w:szCs w:val="32"/>
        </w:rPr>
        <w:t>万元。与2018年相比，收</w:t>
      </w:r>
      <w:r>
        <w:rPr>
          <w:rFonts w:hint="eastAsia" w:ascii="仿宋_GB2312" w:hAnsi="仿宋_GB2312" w:eastAsia="仿宋_GB2312" w:cs="仿宋_GB2312"/>
          <w:color w:val="000000"/>
          <w:sz w:val="32"/>
          <w:szCs w:val="32"/>
          <w:lang w:eastAsia="zh-CN"/>
        </w:rPr>
        <w:t>、支总计</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9.05</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1.60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由于财政增加信访经费投入。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hAnsi="仿宋_GB2312" w:eastAsia="仿宋_GB2312" w:cs="仿宋_GB2312"/>
          <w:color w:val="000000"/>
          <w:sz w:val="32"/>
          <w:szCs w:val="32"/>
          <w:lang w:eastAsia="zh-CN"/>
        </w:rPr>
      </w:pPr>
      <w:bookmarkStart w:id="28" w:name="_Toc15377206"/>
      <w:bookmarkStart w:id="29" w:name="_Toc15396604"/>
      <w:r>
        <w:rPr>
          <w:rFonts w:hint="eastAsia" w:ascii="仿宋_GB2312" w:hAnsi="仿宋_GB2312" w:eastAsia="仿宋_GB2312" w:cs="仿宋_GB2312"/>
        </w:rPr>
        <w:drawing>
          <wp:inline distT="0" distB="0" distL="114300" distR="114300">
            <wp:extent cx="4591050" cy="2733675"/>
            <wp:effectExtent l="0" t="0" r="0"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4591050" cy="27336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32"/>
          <w:szCs w:val="32"/>
          <w:lang w:eastAsia="zh-CN"/>
        </w:rPr>
      </w:pPr>
    </w:p>
    <w:p>
      <w:pPr>
        <w:pStyle w:val="23"/>
        <w:numPr>
          <w:ilvl w:val="0"/>
          <w:numId w:val="0"/>
        </w:numPr>
        <w:spacing w:line="600" w:lineRule="exact"/>
        <w:ind w:left="640" w:leftChars="0"/>
        <w:outlineLvl w:val="1"/>
        <w:rPr>
          <w:rStyle w:val="25"/>
          <w:rFonts w:hint="eastAsia" w:ascii="仿宋_GB2312" w:hAnsi="仿宋_GB2312" w:eastAsia="仿宋_GB2312" w:cs="仿宋_GB2312"/>
          <w:b w:val="0"/>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收</w:t>
      </w:r>
      <w:r>
        <w:rPr>
          <w:rStyle w:val="25"/>
          <w:rFonts w:hint="eastAsia" w:ascii="仿宋_GB2312" w:hAnsi="仿宋_GB2312" w:eastAsia="仿宋_GB2312" w:cs="仿宋_GB2312"/>
          <w:b w:val="0"/>
        </w:rPr>
        <w:t>入决算情况说明</w:t>
      </w:r>
      <w:bookmarkEnd w:id="28"/>
      <w:bookmarkEnd w:id="29"/>
    </w:p>
    <w:p>
      <w:pPr>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2019年本年收入合计526.91万元，其中：一般公共预算财政拨款收入515.14万元，占</w:t>
      </w:r>
      <w:r>
        <w:rPr>
          <w:rFonts w:hint="eastAsia" w:ascii="仿宋_GB2312" w:hAnsi="仿宋_GB2312" w:eastAsia="仿宋_GB2312" w:cs="仿宋_GB2312"/>
          <w:color w:val="000000"/>
          <w:sz w:val="32"/>
          <w:szCs w:val="32"/>
          <w:lang w:val="en-US" w:eastAsia="zh-CN"/>
        </w:rPr>
        <w:t>97.77</w:t>
      </w:r>
      <w:r>
        <w:rPr>
          <w:rFonts w:hint="eastAsia" w:ascii="仿宋_GB2312" w:hAnsi="仿宋_GB2312" w:eastAsia="仿宋_GB2312" w:cs="仿宋_GB2312"/>
          <w:color w:val="000000"/>
          <w:sz w:val="32"/>
          <w:szCs w:val="32"/>
        </w:rPr>
        <w:t>%；政府性基金预算财政拨款收入11.77万元，占</w:t>
      </w:r>
      <w:r>
        <w:rPr>
          <w:rFonts w:hint="eastAsia" w:ascii="仿宋_GB2312" w:hAnsi="仿宋_GB2312" w:eastAsia="仿宋_GB2312" w:cs="仿宋_GB2312"/>
          <w:color w:val="000000"/>
          <w:sz w:val="32"/>
          <w:szCs w:val="32"/>
          <w:lang w:val="en-US" w:eastAsia="zh-CN"/>
        </w:rPr>
        <w:t>2.23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themeColor="text1"/>
          <w:sz w:val="32"/>
          <w:szCs w:val="32"/>
        </w:rPr>
        <w:t>上级补助收入</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rPr>
        <w:drawing>
          <wp:inline distT="0" distB="0" distL="114300" distR="114300">
            <wp:extent cx="4495800" cy="283845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4495800" cy="2838450"/>
                    </a:xfrm>
                    <a:prstGeom prst="rect">
                      <a:avLst/>
                    </a:prstGeom>
                    <a:noFill/>
                    <a:ln>
                      <a:noFill/>
                    </a:ln>
                  </pic:spPr>
                </pic:pic>
              </a:graphicData>
            </a:graphic>
          </wp:inline>
        </w:drawing>
      </w:r>
    </w:p>
    <w:p>
      <w:pPr>
        <w:pStyle w:val="23"/>
        <w:numPr>
          <w:ilvl w:val="0"/>
          <w:numId w:val="3"/>
        </w:numPr>
        <w:spacing w:line="600" w:lineRule="exact"/>
        <w:ind w:firstLineChars="0"/>
        <w:outlineLvl w:val="1"/>
        <w:rPr>
          <w:rStyle w:val="25"/>
          <w:rFonts w:hint="eastAsia" w:ascii="仿宋_GB2312" w:hAnsi="仿宋_GB2312" w:eastAsia="仿宋_GB2312" w:cs="仿宋_GB2312"/>
          <w:b w:val="0"/>
        </w:rPr>
      </w:pPr>
      <w:bookmarkStart w:id="30" w:name="_Toc15396605"/>
      <w:bookmarkStart w:id="31" w:name="_Toc15377207"/>
      <w:r>
        <w:rPr>
          <w:rFonts w:hint="eastAsia" w:ascii="仿宋_GB2312" w:hAnsi="仿宋_GB2312" w:eastAsia="仿宋_GB2312" w:cs="仿宋_GB2312"/>
          <w:color w:val="000000"/>
          <w:sz w:val="32"/>
          <w:szCs w:val="32"/>
        </w:rPr>
        <w:t>支</w:t>
      </w:r>
      <w:r>
        <w:rPr>
          <w:rStyle w:val="25"/>
          <w:rFonts w:hint="eastAsia" w:ascii="仿宋_GB2312" w:hAnsi="仿宋_GB2312" w:eastAsia="仿宋_GB2312" w:cs="仿宋_GB2312"/>
          <w:b w:val="0"/>
        </w:rPr>
        <w:t>出决算情况说明</w:t>
      </w:r>
      <w:bookmarkEnd w:id="30"/>
      <w:bookmarkEnd w:id="31"/>
    </w:p>
    <w:p>
      <w:pPr>
        <w:tabs>
          <w:tab w:val="left" w:pos="7560"/>
        </w:tabs>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2019年本年支出合计501.13万元，其中：基本支出373.64万元，占</w:t>
      </w:r>
      <w:r>
        <w:rPr>
          <w:rFonts w:hint="eastAsia" w:ascii="仿宋_GB2312" w:hAnsi="仿宋_GB2312" w:eastAsia="仿宋_GB2312" w:cs="仿宋_GB2312"/>
          <w:color w:val="000000"/>
          <w:sz w:val="32"/>
          <w:szCs w:val="32"/>
          <w:lang w:val="en-US" w:eastAsia="zh-CN"/>
        </w:rPr>
        <w:t>74.56</w:t>
      </w:r>
      <w:r>
        <w:rPr>
          <w:rFonts w:hint="eastAsia" w:ascii="仿宋_GB2312" w:hAnsi="仿宋_GB2312" w:eastAsia="仿宋_GB2312" w:cs="仿宋_GB2312"/>
          <w:color w:val="000000"/>
          <w:sz w:val="32"/>
          <w:szCs w:val="32"/>
        </w:rPr>
        <w:t>%；项目支出127.49万元，占</w:t>
      </w:r>
      <w:r>
        <w:rPr>
          <w:rFonts w:hint="eastAsia" w:ascii="仿宋_GB2312" w:hAnsi="仿宋_GB2312" w:eastAsia="仿宋_GB2312" w:cs="仿宋_GB2312"/>
          <w:color w:val="000000"/>
          <w:sz w:val="32"/>
          <w:szCs w:val="32"/>
          <w:lang w:val="en-US" w:eastAsia="zh-CN"/>
        </w:rPr>
        <w:t>25.44</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rPr>
        <w:drawing>
          <wp:inline distT="0" distB="0" distL="114300" distR="114300">
            <wp:extent cx="4619625" cy="2762250"/>
            <wp:effectExtent l="0" t="0" r="952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4619625" cy="2762250"/>
                    </a:xfrm>
                    <a:prstGeom prst="rect">
                      <a:avLst/>
                    </a:prstGeom>
                    <a:noFill/>
                    <a:ln>
                      <a:noFill/>
                    </a:ln>
                  </pic:spPr>
                </pic:pic>
              </a:graphicData>
            </a:graphic>
          </wp:inline>
        </w:drawing>
      </w:r>
    </w:p>
    <w:p>
      <w:pPr>
        <w:spacing w:line="600" w:lineRule="exact"/>
        <w:rPr>
          <w:rFonts w:hint="eastAsia" w:ascii="仿宋_GB2312" w:hAnsi="仿宋_GB2312" w:eastAsia="仿宋_GB2312" w:cs="仿宋_GB2312"/>
          <w:color w:val="FF0000"/>
          <w:sz w:val="32"/>
          <w:szCs w:val="32"/>
        </w:rPr>
      </w:pPr>
    </w:p>
    <w:p>
      <w:pPr>
        <w:spacing w:line="600" w:lineRule="exact"/>
        <w:ind w:firstLine="640" w:firstLineChars="200"/>
        <w:outlineLvl w:val="1"/>
        <w:rPr>
          <w:rStyle w:val="25"/>
          <w:rFonts w:hint="eastAsia" w:ascii="仿宋_GB2312" w:hAnsi="仿宋_GB2312" w:eastAsia="仿宋_GB2312" w:cs="仿宋_GB2312"/>
          <w:b w:val="0"/>
        </w:rPr>
      </w:pPr>
      <w:bookmarkStart w:id="32" w:name="_Toc15377208"/>
      <w:bookmarkStart w:id="33" w:name="_Toc15396606"/>
      <w:r>
        <w:rPr>
          <w:rFonts w:hint="eastAsia" w:ascii="仿宋_GB2312" w:hAnsi="仿宋_GB2312" w:eastAsia="仿宋_GB2312" w:cs="仿宋_GB2312"/>
          <w:color w:val="000000"/>
          <w:sz w:val="32"/>
          <w:szCs w:val="32"/>
        </w:rPr>
        <w:t>四、财</w:t>
      </w:r>
      <w:r>
        <w:rPr>
          <w:rStyle w:val="25"/>
          <w:rFonts w:hint="eastAsia" w:ascii="仿宋_GB2312" w:hAnsi="仿宋_GB2312" w:eastAsia="仿宋_GB2312" w:cs="仿宋_GB2312"/>
          <w:b w:val="0"/>
        </w:rPr>
        <w:t>政拨款收入支出决算总体情况说明</w:t>
      </w:r>
      <w:bookmarkEnd w:id="32"/>
      <w:bookmarkEnd w:id="33"/>
    </w:p>
    <w:p>
      <w:pPr>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2019年财政拨款收</w:t>
      </w:r>
      <w:r>
        <w:rPr>
          <w:rFonts w:hint="eastAsia" w:ascii="仿宋_GB2312" w:hAnsi="仿宋_GB2312" w:eastAsia="仿宋_GB2312" w:cs="仿宋_GB2312"/>
          <w:color w:val="000000"/>
          <w:sz w:val="32"/>
          <w:szCs w:val="32"/>
          <w:lang w:eastAsia="zh-CN"/>
        </w:rPr>
        <w:t>入总计</w:t>
      </w:r>
      <w:r>
        <w:rPr>
          <w:rFonts w:hint="eastAsia" w:ascii="仿宋_GB2312" w:hAnsi="仿宋_GB2312" w:eastAsia="仿宋_GB2312" w:cs="仿宋_GB2312"/>
          <w:color w:val="000000"/>
          <w:sz w:val="32"/>
          <w:szCs w:val="32"/>
        </w:rPr>
        <w:t>、支总计575.50万元。与2018年相比，财政拨款收、支总计各增加</w:t>
      </w:r>
      <w:r>
        <w:rPr>
          <w:rFonts w:hint="eastAsia" w:ascii="仿宋_GB2312" w:hAnsi="仿宋_GB2312" w:eastAsia="仿宋_GB2312" w:cs="仿宋_GB2312"/>
          <w:color w:val="000000"/>
          <w:sz w:val="32"/>
          <w:szCs w:val="32"/>
          <w:lang w:val="en-US" w:eastAsia="zh-CN"/>
        </w:rPr>
        <w:t>9.05</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1.60</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财政加大了信访经费的投入。</w:t>
      </w:r>
    </w:p>
    <w:p>
      <w:pPr>
        <w:spacing w:line="600"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_GB2312" w:hAnsi="仿宋_GB2312" w:eastAsia="仿宋_GB2312" w:cs="仿宋_GB2312"/>
          <w:b/>
          <w:color w:val="00B050"/>
          <w:sz w:val="32"/>
          <w:szCs w:val="32"/>
          <w:lang w:eastAsia="zh-CN"/>
        </w:rPr>
      </w:pPr>
      <w:r>
        <w:rPr>
          <w:rFonts w:hint="eastAsia" w:ascii="仿宋_GB2312" w:hAnsi="仿宋_GB2312" w:eastAsia="仿宋_GB2312" w:cs="仿宋_GB2312"/>
        </w:rPr>
        <w:drawing>
          <wp:inline distT="0" distB="0" distL="114300" distR="114300">
            <wp:extent cx="4524375" cy="2743200"/>
            <wp:effectExtent l="0" t="0" r="9525"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0"/>
                    <a:stretch>
                      <a:fillRect/>
                    </a:stretch>
                  </pic:blipFill>
                  <pic:spPr>
                    <a:xfrm>
                      <a:off x="0" y="0"/>
                      <a:ext cx="4524375" cy="2743200"/>
                    </a:xfrm>
                    <a:prstGeom prst="rect">
                      <a:avLst/>
                    </a:prstGeom>
                    <a:noFill/>
                    <a:ln>
                      <a:noFill/>
                    </a:ln>
                  </pic:spPr>
                </pic:pic>
              </a:graphicData>
            </a:graphic>
          </wp:inline>
        </w:drawing>
      </w:r>
    </w:p>
    <w:p>
      <w:pPr>
        <w:spacing w:line="600" w:lineRule="exact"/>
        <w:ind w:firstLine="640" w:firstLineChars="200"/>
        <w:outlineLvl w:val="1"/>
        <w:rPr>
          <w:rStyle w:val="25"/>
          <w:rFonts w:hint="eastAsia" w:ascii="仿宋_GB2312" w:hAnsi="仿宋_GB2312" w:eastAsia="仿宋_GB2312" w:cs="仿宋_GB2312"/>
          <w:b w:val="0"/>
        </w:rPr>
      </w:pPr>
      <w:bookmarkStart w:id="34" w:name="_Toc15377209"/>
      <w:bookmarkStart w:id="35" w:name="_Toc15396607"/>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b/>
          <w:color w:val="000000"/>
          <w:sz w:val="32"/>
          <w:szCs w:val="32"/>
        </w:rPr>
        <w:t>一</w:t>
      </w:r>
      <w:r>
        <w:rPr>
          <w:rStyle w:val="25"/>
          <w:rFonts w:hint="eastAsia" w:ascii="仿宋_GB2312" w:hAnsi="仿宋_GB2312" w:eastAsia="仿宋_GB2312" w:cs="仿宋_GB2312"/>
          <w:b w:val="0"/>
        </w:rPr>
        <w:t>般公共预算财政拨款支出决算情况说明</w:t>
      </w:r>
      <w:bookmarkEnd w:id="34"/>
      <w:bookmarkEnd w:id="35"/>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6" w:name="_Toc15377210"/>
      <w:r>
        <w:rPr>
          <w:rFonts w:hint="eastAsia" w:ascii="仿宋_GB2312" w:hAnsi="仿宋_GB2312" w:eastAsia="仿宋_GB2312" w:cs="仿宋_GB2312"/>
          <w:b/>
          <w:color w:val="000000"/>
          <w:sz w:val="32"/>
          <w:szCs w:val="32"/>
        </w:rPr>
        <w:t>（一）一般公共预算财政拨款支出决算总体情况</w:t>
      </w:r>
      <w:bookmarkEnd w:id="36"/>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2019年一般公共预算财政拨款支出501.13万元，占本年支出合计的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%。与2018年相比，一般公共预算财政拨款减少</w:t>
      </w:r>
      <w:r>
        <w:rPr>
          <w:rFonts w:hint="eastAsia" w:ascii="仿宋_GB2312" w:hAnsi="仿宋_GB2312" w:eastAsia="仿宋_GB2312" w:cs="仿宋_GB2312"/>
          <w:color w:val="000000"/>
          <w:sz w:val="32"/>
          <w:szCs w:val="32"/>
          <w:lang w:val="en-US" w:eastAsia="zh-CN"/>
        </w:rPr>
        <w:t>16.73</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3.23</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本单位执行“中央八项规定”减少“三公经费”及一般性支出。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rPr>
        <w:drawing>
          <wp:inline distT="0" distB="0" distL="114300" distR="114300">
            <wp:extent cx="4591050" cy="2705100"/>
            <wp:effectExtent l="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1"/>
                    <a:stretch>
                      <a:fillRect/>
                    </a:stretch>
                  </pic:blipFill>
                  <pic:spPr>
                    <a:xfrm>
                      <a:off x="0" y="0"/>
                      <a:ext cx="4591050" cy="2705100"/>
                    </a:xfrm>
                    <a:prstGeom prst="rect">
                      <a:avLst/>
                    </a:prstGeom>
                    <a:noFill/>
                    <a:ln>
                      <a:noFill/>
                    </a:ln>
                  </pic:spPr>
                </pic:pic>
              </a:graphicData>
            </a:graphic>
          </wp:inline>
        </w:drawing>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7" w:name="_Toc15377211"/>
      <w:r>
        <w:rPr>
          <w:rFonts w:hint="eastAsia" w:ascii="仿宋_GB2312" w:hAnsi="仿宋_GB2312" w:eastAsia="仿宋_GB2312" w:cs="仿宋_GB2312"/>
          <w:b/>
          <w:color w:val="000000"/>
          <w:sz w:val="32"/>
          <w:szCs w:val="32"/>
        </w:rPr>
        <w:t>（二）一般公共预算财政拨款支出决算结构情况</w:t>
      </w:r>
      <w:bookmarkEnd w:id="37"/>
    </w:p>
    <w:p>
      <w:pPr>
        <w:spacing w:line="600" w:lineRule="exact"/>
        <w:ind w:firstLine="64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sz w:val="32"/>
          <w:szCs w:val="32"/>
        </w:rPr>
        <w:t>2019年一般公共预算财</w:t>
      </w:r>
      <w:r>
        <w:rPr>
          <w:rFonts w:hint="eastAsia" w:ascii="仿宋_GB2312" w:hAnsi="仿宋_GB2312" w:eastAsia="仿宋_GB2312" w:cs="仿宋_GB2312"/>
          <w:color w:val="000000" w:themeColor="text1"/>
          <w:sz w:val="32"/>
          <w:szCs w:val="32"/>
        </w:rPr>
        <w:t>政拨款支出</w:t>
      </w:r>
      <w:r>
        <w:rPr>
          <w:rFonts w:hint="eastAsia" w:ascii="仿宋_GB2312" w:hAnsi="仿宋_GB2312" w:eastAsia="仿宋_GB2312" w:cs="仿宋_GB2312"/>
          <w:color w:val="000000" w:themeColor="text1"/>
          <w:sz w:val="32"/>
          <w:szCs w:val="32"/>
          <w:lang w:val="en-US" w:eastAsia="zh-CN"/>
        </w:rPr>
        <w:t>501.13</w:t>
      </w:r>
      <w:r>
        <w:rPr>
          <w:rFonts w:hint="eastAsia" w:ascii="仿宋_GB2312" w:hAnsi="仿宋_GB2312" w:eastAsia="仿宋_GB2312" w:cs="仿宋_GB2312"/>
          <w:color w:val="000000" w:themeColor="text1"/>
          <w:sz w:val="32"/>
          <w:szCs w:val="32"/>
        </w:rPr>
        <w:t>万元，主要用于以下方面:</w:t>
      </w:r>
      <w:r>
        <w:rPr>
          <w:rFonts w:hint="eastAsia" w:ascii="仿宋_GB2312" w:hAnsi="仿宋_GB2312" w:eastAsia="仿宋_GB2312" w:cs="仿宋_GB2312"/>
          <w:b/>
          <w:color w:val="000000" w:themeColor="text1"/>
          <w:sz w:val="32"/>
          <w:szCs w:val="32"/>
        </w:rPr>
        <w:t>一般公共服务（类）</w:t>
      </w:r>
      <w:r>
        <w:rPr>
          <w:rFonts w:hint="eastAsia" w:ascii="仿宋_GB2312" w:hAnsi="仿宋_GB2312" w:eastAsia="仿宋_GB2312" w:cs="仿宋_GB2312"/>
          <w:color w:val="000000" w:themeColor="text1"/>
          <w:sz w:val="32"/>
          <w:szCs w:val="32"/>
        </w:rPr>
        <w:t>支出438.11万元，占</w:t>
      </w:r>
      <w:r>
        <w:rPr>
          <w:rFonts w:hint="eastAsia" w:ascii="仿宋_GB2312" w:hAnsi="仿宋_GB2312" w:eastAsia="仿宋_GB2312" w:cs="仿宋_GB2312"/>
          <w:color w:val="000000" w:themeColor="text1"/>
          <w:sz w:val="32"/>
          <w:szCs w:val="32"/>
          <w:lang w:val="en-US" w:eastAsia="zh-CN"/>
        </w:rPr>
        <w:t>87.42</w:t>
      </w:r>
      <w:r>
        <w:rPr>
          <w:rFonts w:hint="eastAsia" w:ascii="仿宋_GB2312" w:hAnsi="仿宋_GB2312" w:eastAsia="仿宋_GB2312" w:cs="仿宋_GB2312"/>
          <w:color w:val="000000" w:themeColor="text1"/>
          <w:sz w:val="32"/>
          <w:szCs w:val="32"/>
        </w:rPr>
        <w:t>%；外交</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%；公共安全</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教育（类）支出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科学技术（类）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文化旅游体育与传媒（类）支出</w:t>
      </w:r>
      <w:r>
        <w:rPr>
          <w:rFonts w:hint="eastAsia" w:ascii="仿宋_GB2312" w:hAnsi="仿宋_GB2312" w:eastAsia="仿宋_GB2312" w:cs="仿宋_GB2312"/>
          <w:b/>
          <w:bCs/>
          <w:color w:val="000000" w:themeColor="text1"/>
          <w:sz w:val="32"/>
          <w:szCs w:val="32"/>
          <w:lang w:val="en-US" w:eastAsia="zh-CN"/>
        </w:rPr>
        <w:t>0</w:t>
      </w:r>
      <w:r>
        <w:rPr>
          <w:rFonts w:hint="eastAsia" w:ascii="仿宋_GB2312" w:hAnsi="仿宋_GB2312" w:eastAsia="仿宋_GB2312" w:cs="仿宋_GB2312"/>
          <w:b/>
          <w:bCs/>
          <w:color w:val="000000" w:themeColor="text1"/>
          <w:sz w:val="32"/>
          <w:szCs w:val="32"/>
        </w:rPr>
        <w:t>万元，占</w:t>
      </w:r>
      <w:r>
        <w:rPr>
          <w:rFonts w:hint="eastAsia" w:ascii="仿宋_GB2312" w:hAnsi="仿宋_GB2312" w:eastAsia="仿宋_GB2312" w:cs="仿宋_GB2312"/>
          <w:b/>
          <w:bCs/>
          <w:color w:val="000000" w:themeColor="text1"/>
          <w:sz w:val="32"/>
          <w:szCs w:val="32"/>
          <w:lang w:val="en-US" w:eastAsia="zh-CN"/>
        </w:rPr>
        <w:t>0</w:t>
      </w:r>
      <w:r>
        <w:rPr>
          <w:rFonts w:hint="eastAsia" w:ascii="仿宋_GB2312" w:hAnsi="仿宋_GB2312" w:eastAsia="仿宋_GB2312" w:cs="仿宋_GB2312"/>
          <w:b/>
          <w:bCs/>
          <w:color w:val="000000" w:themeColor="text1"/>
          <w:sz w:val="32"/>
          <w:szCs w:val="32"/>
        </w:rPr>
        <w:t>%</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社会保障和就业（类）</w:t>
      </w:r>
      <w:r>
        <w:rPr>
          <w:rFonts w:hint="eastAsia" w:ascii="仿宋_GB2312" w:hAnsi="仿宋_GB2312" w:eastAsia="仿宋_GB2312" w:cs="仿宋_GB2312"/>
          <w:color w:val="000000" w:themeColor="text1"/>
          <w:sz w:val="32"/>
          <w:szCs w:val="32"/>
        </w:rPr>
        <w:t>支出28.82万元，占</w:t>
      </w:r>
      <w:r>
        <w:rPr>
          <w:rFonts w:hint="eastAsia" w:ascii="仿宋_GB2312" w:hAnsi="仿宋_GB2312" w:eastAsia="仿宋_GB2312" w:cs="仿宋_GB2312"/>
          <w:color w:val="000000" w:themeColor="text1"/>
          <w:sz w:val="32"/>
          <w:szCs w:val="32"/>
          <w:lang w:val="en-US" w:eastAsia="zh-CN"/>
        </w:rPr>
        <w:t>5.75</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卫生健康</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b/>
          <w:bCs/>
          <w:color w:val="000000" w:themeColor="text1"/>
          <w:sz w:val="32"/>
          <w:szCs w:val="32"/>
        </w:rPr>
        <w:t>支出</w:t>
      </w:r>
      <w:r>
        <w:rPr>
          <w:rFonts w:hint="eastAsia" w:ascii="仿宋_GB2312" w:hAnsi="仿宋_GB2312" w:eastAsia="仿宋_GB2312" w:cs="仿宋_GB2312"/>
          <w:color w:val="000000" w:themeColor="text1"/>
          <w:sz w:val="32"/>
          <w:szCs w:val="32"/>
        </w:rPr>
        <w:t>17.86万元，占</w:t>
      </w:r>
      <w:r>
        <w:rPr>
          <w:rFonts w:hint="eastAsia" w:ascii="仿宋_GB2312" w:hAnsi="仿宋_GB2312" w:eastAsia="仿宋_GB2312" w:cs="仿宋_GB2312"/>
          <w:color w:val="000000" w:themeColor="text1"/>
          <w:sz w:val="32"/>
          <w:szCs w:val="32"/>
          <w:lang w:val="en-US" w:eastAsia="zh-CN"/>
        </w:rPr>
        <w:t>3.57</w:t>
      </w:r>
      <w:r>
        <w:rPr>
          <w:rFonts w:hint="eastAsia" w:ascii="仿宋_GB2312" w:hAnsi="仿宋_GB2312" w:eastAsia="仿宋_GB2312" w:cs="仿宋_GB2312"/>
          <w:color w:val="000000" w:themeColor="text1"/>
          <w:sz w:val="32"/>
          <w:szCs w:val="32"/>
        </w:rPr>
        <w:t>%；节能环保</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%；农林水</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%；交通运输</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%；商业服务业等</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%；援助其他地区</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住房保障</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支出16.34万元，占</w:t>
      </w:r>
      <w:r>
        <w:rPr>
          <w:rFonts w:hint="eastAsia" w:ascii="仿宋_GB2312" w:hAnsi="仿宋_GB2312" w:eastAsia="仿宋_GB2312" w:cs="仿宋_GB2312"/>
          <w:color w:val="000000" w:themeColor="text1"/>
          <w:sz w:val="32"/>
          <w:szCs w:val="32"/>
          <w:lang w:val="en-US" w:eastAsia="zh-CN"/>
        </w:rPr>
        <w:t>3.26</w:t>
      </w:r>
      <w:r>
        <w:rPr>
          <w:rFonts w:hint="eastAsia" w:ascii="仿宋_GB2312" w:hAnsi="仿宋_GB2312" w:eastAsia="仿宋_GB2312" w:cs="仿宋_GB2312"/>
          <w:color w:val="000000" w:themeColor="text1"/>
          <w:sz w:val="32"/>
          <w:szCs w:val="32"/>
        </w:rPr>
        <w:t>%；粮油物资储备</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%；其他</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%；债务还本</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%；债务付息</w:t>
      </w:r>
      <w:r>
        <w:rPr>
          <w:rFonts w:hint="eastAsia" w:ascii="仿宋_GB2312" w:hAnsi="仿宋_GB2312" w:eastAsia="仿宋_GB2312" w:cs="仿宋_GB2312"/>
          <w:b/>
          <w:color w:val="000000" w:themeColor="text1"/>
          <w:sz w:val="32"/>
          <w:szCs w:val="32"/>
        </w:rPr>
        <w:t>（类）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8" w:name="_Toc15377212"/>
      <w:r>
        <w:rPr>
          <w:rFonts w:hint="eastAsia" w:ascii="仿宋_GB2312" w:hAnsi="仿宋_GB2312" w:eastAsia="仿宋_GB2312" w:cs="仿宋_GB2312"/>
          <w:b/>
          <w:color w:val="000000"/>
          <w:sz w:val="32"/>
          <w:szCs w:val="32"/>
        </w:rPr>
        <w:t>（三）一般公共预算财政拨款支出决算具体情况</w:t>
      </w:r>
      <w:bookmarkEnd w:id="38"/>
    </w:p>
    <w:p>
      <w:pPr>
        <w:spacing w:line="600" w:lineRule="exact"/>
        <w:ind w:firstLine="643" w:firstLineChars="200"/>
        <w:outlineLvl w:val="2"/>
        <w:rPr>
          <w:rFonts w:hint="eastAsia" w:ascii="仿宋_GB2312" w:hAnsi="仿宋_GB2312" w:eastAsia="仿宋_GB2312" w:cs="仿宋_GB2312"/>
          <w:color w:val="FF0000"/>
          <w:sz w:val="32"/>
          <w:szCs w:val="32"/>
        </w:rPr>
      </w:pPr>
      <w:bookmarkStart w:id="39" w:name="_Toc15378460"/>
      <w:bookmarkStart w:id="40" w:name="_Toc15377444"/>
      <w:bookmarkStart w:id="41" w:name="_Toc15377213"/>
      <w:r>
        <w:rPr>
          <w:rFonts w:hint="eastAsia" w:ascii="仿宋_GB2312" w:hAnsi="仿宋_GB2312" w:eastAsia="仿宋_GB2312" w:cs="仿宋_GB2312"/>
          <w:b/>
          <w:color w:val="000000" w:themeColor="text1"/>
          <w:sz w:val="32"/>
          <w:szCs w:val="32"/>
        </w:rPr>
        <w:t>2019年</w:t>
      </w:r>
      <w:r>
        <w:rPr>
          <w:rFonts w:hint="eastAsia" w:ascii="仿宋_GB2312" w:hAnsi="仿宋_GB2312" w:eastAsia="仿宋_GB2312" w:cs="仿宋_GB2312"/>
          <w:b/>
          <w:color w:val="000000" w:themeColor="text1"/>
          <w:sz w:val="32"/>
          <w:szCs w:val="32"/>
          <w:lang w:eastAsia="zh-CN"/>
        </w:rPr>
        <w:t>一</w:t>
      </w:r>
      <w:r>
        <w:rPr>
          <w:rFonts w:hint="eastAsia" w:ascii="仿宋_GB2312" w:hAnsi="仿宋_GB2312" w:eastAsia="仿宋_GB2312" w:cs="仿宋_GB2312"/>
          <w:b/>
          <w:color w:val="000000" w:themeColor="text1"/>
          <w:sz w:val="32"/>
          <w:szCs w:val="32"/>
        </w:rPr>
        <w:t>般公共预算支出决算数为501.13</w:t>
      </w:r>
      <w:r>
        <w:rPr>
          <w:rFonts w:hint="eastAsia" w:ascii="仿宋_GB2312" w:hAnsi="仿宋_GB2312" w:eastAsia="仿宋_GB2312" w:cs="仿宋_GB2312"/>
          <w:b/>
          <w:color w:val="000000" w:themeColor="text1"/>
          <w:sz w:val="32"/>
          <w:szCs w:val="32"/>
          <w:lang w:eastAsia="zh-CN"/>
        </w:rPr>
        <w:t>万元</w:t>
      </w:r>
      <w:r>
        <w:rPr>
          <w:rFonts w:hint="eastAsia" w:ascii="仿宋_GB2312" w:hAnsi="仿宋_GB2312" w:eastAsia="仿宋_GB2312" w:cs="仿宋_GB2312"/>
          <w:color w:val="000000" w:themeColor="text1"/>
          <w:sz w:val="32"/>
          <w:szCs w:val="32"/>
        </w:rPr>
        <w:t>，</w:t>
      </w:r>
      <w:r>
        <w:rPr>
          <w:rStyle w:val="14"/>
          <w:rFonts w:hint="eastAsia" w:ascii="仿宋_GB2312" w:hAnsi="仿宋_GB2312" w:eastAsia="仿宋_GB2312" w:cs="仿宋_GB2312"/>
          <w:bCs/>
          <w:color w:val="000000" w:themeColor="text1"/>
          <w:sz w:val="32"/>
          <w:szCs w:val="32"/>
        </w:rPr>
        <w:t>完成</w:t>
      </w:r>
      <w:r>
        <w:rPr>
          <w:rStyle w:val="14"/>
          <w:rFonts w:hint="eastAsia" w:ascii="仿宋_GB2312" w:hAnsi="仿宋_GB2312" w:eastAsia="仿宋_GB2312" w:cs="仿宋_GB2312"/>
          <w:bCs/>
          <w:color w:val="000000"/>
          <w:sz w:val="32"/>
          <w:szCs w:val="32"/>
        </w:rPr>
        <w:t>预算</w:t>
      </w:r>
      <w:r>
        <w:rPr>
          <w:rStyle w:val="14"/>
          <w:rFonts w:hint="eastAsia" w:ascii="仿宋_GB2312" w:hAnsi="仿宋_GB2312" w:eastAsia="仿宋_GB2312" w:cs="仿宋_GB2312"/>
          <w:bCs/>
          <w:color w:val="000000"/>
          <w:sz w:val="32"/>
          <w:szCs w:val="32"/>
          <w:lang w:val="en-US" w:eastAsia="zh-CN"/>
        </w:rPr>
        <w:t>88.90</w:t>
      </w:r>
      <w:r>
        <w:rPr>
          <w:rStyle w:val="14"/>
          <w:rFonts w:hint="eastAsia" w:ascii="仿宋_GB2312" w:hAnsi="仿宋_GB2312" w:eastAsia="仿宋_GB2312" w:cs="仿宋_GB2312"/>
          <w:bCs/>
          <w:color w:val="000000"/>
          <w:sz w:val="32"/>
          <w:szCs w:val="32"/>
        </w:rPr>
        <w:t>%。其中：</w:t>
      </w:r>
      <w:bookmarkEnd w:id="39"/>
      <w:bookmarkEnd w:id="40"/>
      <w:bookmarkEnd w:id="41"/>
    </w:p>
    <w:p>
      <w:pPr>
        <w:numPr>
          <w:ilvl w:val="0"/>
          <w:numId w:val="4"/>
        </w:num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一般公共服务（类）政府办公厅（室）及相关机构事务（款） 行政运行（项）:</w:t>
      </w:r>
      <w:r>
        <w:rPr>
          <w:rStyle w:val="14"/>
          <w:rFonts w:hint="eastAsia" w:ascii="仿宋_GB2312" w:hAnsi="仿宋_GB2312" w:eastAsia="仿宋_GB2312" w:cs="仿宋_GB2312"/>
          <w:b w:val="0"/>
          <w:bCs/>
          <w:color w:val="000000"/>
          <w:sz w:val="32"/>
          <w:szCs w:val="32"/>
        </w:rPr>
        <w:t xml:space="preserve"> 支出决算为310.62万元，完成预算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numPr>
          <w:ilvl w:val="0"/>
          <w:numId w:val="4"/>
        </w:num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一般公共服务（类）政府办公厅（室）及相关机构事务（款） 一般行政管理事务（项）:</w:t>
      </w:r>
      <w:r>
        <w:rPr>
          <w:rStyle w:val="14"/>
          <w:rFonts w:hint="eastAsia" w:ascii="仿宋_GB2312" w:hAnsi="仿宋_GB2312" w:eastAsia="仿宋_GB2312" w:cs="仿宋_GB2312"/>
          <w:b w:val="0"/>
          <w:bCs/>
          <w:color w:val="000000"/>
          <w:sz w:val="32"/>
          <w:szCs w:val="32"/>
        </w:rPr>
        <w:t xml:space="preserve"> 支出决算为65.00万元，完成预算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numPr>
          <w:ilvl w:val="0"/>
          <w:numId w:val="4"/>
        </w:numPr>
        <w:spacing w:line="600" w:lineRule="exact"/>
        <w:ind w:left="0" w:leftChars="0" w:firstLine="643" w:firstLineChars="200"/>
        <w:rPr>
          <w:rStyle w:val="14"/>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Cs/>
          <w:color w:val="000000"/>
          <w:sz w:val="32"/>
          <w:szCs w:val="32"/>
        </w:rPr>
        <w:t>一般公共服务（类）政府办公厅（室）及相关机构事务（款）信访事务（项）:</w:t>
      </w:r>
      <w:r>
        <w:rPr>
          <w:rStyle w:val="14"/>
          <w:rFonts w:hint="eastAsia" w:ascii="仿宋_GB2312" w:hAnsi="仿宋_GB2312" w:eastAsia="仿宋_GB2312" w:cs="仿宋_GB2312"/>
          <w:b w:val="0"/>
          <w:bCs/>
          <w:color w:val="000000"/>
          <w:sz w:val="32"/>
          <w:szCs w:val="32"/>
        </w:rPr>
        <w:t xml:space="preserve"> 支出决算为62.49万元，完成预算</w:t>
      </w:r>
      <w:r>
        <w:rPr>
          <w:rStyle w:val="14"/>
          <w:rFonts w:hint="eastAsia" w:ascii="仿宋_GB2312" w:hAnsi="仿宋_GB2312" w:eastAsia="仿宋_GB2312" w:cs="仿宋_GB2312"/>
          <w:b w:val="0"/>
          <w:bCs/>
          <w:color w:val="000000"/>
          <w:sz w:val="32"/>
          <w:szCs w:val="32"/>
          <w:lang w:val="en-US" w:eastAsia="zh-CN"/>
        </w:rPr>
        <w:t>81.69</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本单位厉行节约，执行国家的规定，节约开支。</w:t>
      </w:r>
    </w:p>
    <w:p>
      <w:pPr>
        <w:numPr>
          <w:ilvl w:val="0"/>
          <w:numId w:val="0"/>
        </w:num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lang w:val="en-US" w:eastAsia="zh-CN"/>
        </w:rPr>
        <w:t xml:space="preserve">4. </w:t>
      </w:r>
      <w:r>
        <w:rPr>
          <w:rStyle w:val="14"/>
          <w:rFonts w:hint="eastAsia" w:ascii="仿宋_GB2312" w:hAnsi="仿宋_GB2312" w:eastAsia="仿宋_GB2312" w:cs="仿宋_GB2312"/>
          <w:bCs/>
          <w:color w:val="000000"/>
          <w:sz w:val="32"/>
          <w:szCs w:val="32"/>
        </w:rPr>
        <w:t>社会保障和就业支出（类）行政事业单位离退休（款） 行政事业单位离退休（项）:</w:t>
      </w:r>
      <w:r>
        <w:rPr>
          <w:rStyle w:val="14"/>
          <w:rFonts w:hint="eastAsia" w:ascii="仿宋_GB2312" w:hAnsi="仿宋_GB2312" w:eastAsia="仿宋_GB2312" w:cs="仿宋_GB2312"/>
          <w:b w:val="0"/>
          <w:bCs/>
          <w:color w:val="000000"/>
          <w:sz w:val="32"/>
          <w:szCs w:val="32"/>
        </w:rPr>
        <w:t xml:space="preserve"> 支出决算为28.82万元，完成预算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widowControl w:val="0"/>
        <w:numPr>
          <w:ilvl w:val="0"/>
          <w:numId w:val="0"/>
        </w:numPr>
        <w:spacing w:line="600" w:lineRule="exact"/>
        <w:ind w:firstLine="643" w:firstLineChars="200"/>
        <w:jc w:val="both"/>
        <w:rPr>
          <w:rStyle w:val="14"/>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5.</w:t>
      </w:r>
      <w:r>
        <w:rPr>
          <w:rStyle w:val="14"/>
          <w:rFonts w:hint="eastAsia" w:ascii="仿宋_GB2312" w:hAnsi="仿宋_GB2312" w:eastAsia="仿宋_GB2312" w:cs="仿宋_GB2312"/>
          <w:bCs/>
          <w:color w:val="000000"/>
          <w:sz w:val="32"/>
          <w:szCs w:val="32"/>
        </w:rPr>
        <w:t>卫生健康支出（类）行政事业单位医疗（款） 行政单位医疗（项）: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12.04</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widowControl w:val="0"/>
        <w:numPr>
          <w:ilvl w:val="0"/>
          <w:numId w:val="0"/>
        </w:numPr>
        <w:spacing w:line="600" w:lineRule="exact"/>
        <w:ind w:firstLine="643" w:firstLineChars="200"/>
        <w:jc w:val="both"/>
        <w:rPr>
          <w:rStyle w:val="14"/>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6.</w:t>
      </w:r>
      <w:r>
        <w:rPr>
          <w:rStyle w:val="14"/>
          <w:rFonts w:hint="eastAsia" w:ascii="仿宋_GB2312" w:hAnsi="仿宋_GB2312" w:eastAsia="仿宋_GB2312" w:cs="仿宋_GB2312"/>
          <w:bCs/>
          <w:color w:val="000000"/>
          <w:sz w:val="32"/>
          <w:szCs w:val="32"/>
        </w:rPr>
        <w:t>卫生健康支出（类）行政事业单位医疗（款） 公务员医疗补助（项）:</w:t>
      </w:r>
      <w:r>
        <w:rPr>
          <w:rStyle w:val="14"/>
          <w:rFonts w:hint="eastAsia" w:ascii="仿宋_GB2312" w:hAnsi="仿宋_GB2312" w:eastAsia="仿宋_GB2312" w:cs="仿宋_GB2312"/>
          <w:b w:val="0"/>
          <w:bCs/>
          <w:color w:val="000000"/>
          <w:sz w:val="32"/>
          <w:szCs w:val="32"/>
        </w:rPr>
        <w:t xml:space="preserve"> 支出决算为5.82万元，完成预算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widowControl w:val="0"/>
        <w:numPr>
          <w:ilvl w:val="0"/>
          <w:numId w:val="0"/>
        </w:numPr>
        <w:spacing w:line="600" w:lineRule="exact"/>
        <w:ind w:firstLine="643" w:firstLineChars="200"/>
        <w:jc w:val="both"/>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7.</w:t>
      </w:r>
      <w:r>
        <w:rPr>
          <w:rStyle w:val="14"/>
          <w:rFonts w:hint="eastAsia" w:ascii="仿宋_GB2312" w:hAnsi="仿宋_GB2312" w:eastAsia="仿宋_GB2312" w:cs="仿宋_GB2312"/>
          <w:bCs/>
          <w:color w:val="000000"/>
          <w:sz w:val="32"/>
          <w:szCs w:val="32"/>
        </w:rPr>
        <w:t>住房保障支出（类）住房改革支出（款）住房公积金（项）:</w:t>
      </w:r>
      <w:r>
        <w:rPr>
          <w:rStyle w:val="14"/>
          <w:rFonts w:hint="eastAsia" w:ascii="仿宋_GB2312" w:hAnsi="仿宋_GB2312" w:eastAsia="仿宋_GB2312" w:cs="仿宋_GB2312"/>
          <w:b w:val="0"/>
          <w:bCs/>
          <w:color w:val="000000"/>
          <w:sz w:val="32"/>
          <w:szCs w:val="32"/>
        </w:rPr>
        <w:t xml:space="preserve"> 支出决算为16.34万元，完成预算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tabs>
          <w:tab w:val="right" w:pos="8306"/>
        </w:tabs>
        <w:spacing w:line="600" w:lineRule="exact"/>
        <w:ind w:firstLine="640"/>
        <w:outlineLvl w:val="1"/>
        <w:rPr>
          <w:rStyle w:val="25"/>
          <w:rFonts w:hint="eastAsia" w:ascii="仿宋_GB2312" w:hAnsi="仿宋_GB2312" w:eastAsia="仿宋_GB2312" w:cs="仿宋_GB2312"/>
        </w:rPr>
      </w:pPr>
      <w:bookmarkStart w:id="42" w:name="_Toc15377214"/>
      <w:bookmarkStart w:id="43" w:name="_Toc15396608"/>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b/>
          <w:color w:val="000000"/>
          <w:sz w:val="32"/>
          <w:szCs w:val="32"/>
        </w:rPr>
        <w:t>、一</w:t>
      </w:r>
      <w:r>
        <w:rPr>
          <w:rStyle w:val="25"/>
          <w:rFonts w:hint="eastAsia" w:ascii="仿宋_GB2312" w:hAnsi="仿宋_GB2312" w:eastAsia="仿宋_GB2312" w:cs="仿宋_GB2312"/>
          <w:b w:val="0"/>
        </w:rPr>
        <w:t>般公共预算财政拨款基本支出决算情况说明</w:t>
      </w:r>
      <w:bookmarkEnd w:id="42"/>
      <w:bookmarkEnd w:id="43"/>
      <w:r>
        <w:rPr>
          <w:rStyle w:val="25"/>
          <w:rFonts w:hint="eastAsia" w:ascii="仿宋_GB2312" w:hAnsi="仿宋_GB2312" w:eastAsia="仿宋_GB2312" w:cs="仿宋_GB2312"/>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2019年一般公共预算财政拨款基本支出373.64万元，其中：人员经费</w:t>
      </w:r>
      <w:r>
        <w:rPr>
          <w:rFonts w:hint="eastAsia" w:ascii="仿宋_GB2312" w:hAnsi="仿宋_GB2312" w:eastAsia="仿宋_GB2312" w:cs="仿宋_GB2312"/>
          <w:color w:val="000000"/>
          <w:sz w:val="32"/>
          <w:szCs w:val="32"/>
          <w:lang w:val="en-US" w:eastAsia="zh-CN"/>
        </w:rPr>
        <w:t>320.59</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w:t>
      </w:r>
      <w:r>
        <w:rPr>
          <w:rFonts w:hint="eastAsia" w:ascii="仿宋_GB2312" w:hAnsi="仿宋_GB2312" w:eastAsia="仿宋_GB2312" w:cs="仿宋_GB2312"/>
          <w:color w:val="000000"/>
          <w:sz w:val="32"/>
          <w:szCs w:val="32"/>
          <w:lang w:val="en-US" w:eastAsia="zh-CN"/>
        </w:rPr>
        <w:t>53.06</w:t>
      </w:r>
      <w:r>
        <w:rPr>
          <w:rFonts w:hint="eastAsia" w:ascii="仿宋_GB2312" w:hAns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hint="eastAsia" w:ascii="仿宋_GB2312" w:hAnsi="仿宋_GB2312" w:eastAsia="仿宋_GB2312" w:cs="仿宋_GB2312"/>
          <w:b w:val="0"/>
        </w:rPr>
      </w:pPr>
      <w:bookmarkStart w:id="44" w:name="_Toc15396609"/>
      <w:bookmarkStart w:id="45" w:name="_Toc15377215"/>
      <w:r>
        <w:rPr>
          <w:rFonts w:hint="eastAsia" w:ascii="仿宋_GB2312" w:hAnsi="仿宋_GB2312" w:eastAsia="仿宋_GB2312" w:cs="仿宋_GB2312"/>
          <w:color w:val="000000"/>
          <w:sz w:val="32"/>
          <w:szCs w:val="32"/>
        </w:rPr>
        <w:t>七、</w:t>
      </w:r>
      <w:r>
        <w:rPr>
          <w:rStyle w:val="25"/>
          <w:rFonts w:hint="eastAsia" w:ascii="仿宋_GB2312" w:hAnsi="仿宋_GB2312" w:eastAsia="仿宋_GB2312" w:cs="仿宋_GB2312"/>
        </w:rPr>
        <w:t>“</w:t>
      </w:r>
      <w:r>
        <w:rPr>
          <w:rStyle w:val="25"/>
          <w:rFonts w:hint="eastAsia" w:ascii="仿宋_GB2312" w:hAnsi="仿宋_GB2312" w:eastAsia="仿宋_GB2312" w:cs="仿宋_GB2312"/>
          <w:b w:val="0"/>
        </w:rPr>
        <w:t>三公”经费财政拨款支出决算情况说明</w:t>
      </w:r>
      <w:bookmarkEnd w:id="44"/>
      <w:bookmarkEnd w:id="45"/>
    </w:p>
    <w:p>
      <w:pPr>
        <w:spacing w:line="600" w:lineRule="exact"/>
        <w:ind w:firstLine="640"/>
        <w:outlineLvl w:val="2"/>
        <w:rPr>
          <w:rFonts w:hint="eastAsia" w:ascii="仿宋_GB2312" w:hAnsi="仿宋_GB2312" w:eastAsia="仿宋_GB2312" w:cs="仿宋_GB2312"/>
          <w:b/>
          <w:color w:val="000000"/>
          <w:sz w:val="32"/>
          <w:szCs w:val="32"/>
        </w:rPr>
      </w:pPr>
      <w:bookmarkStart w:id="46" w:name="_Toc15377216"/>
      <w:r>
        <w:rPr>
          <w:rFonts w:hint="eastAsia" w:ascii="仿宋_GB2312" w:hAnsi="仿宋_GB2312" w:eastAsia="仿宋_GB2312" w:cs="仿宋_GB2312"/>
          <w:b/>
          <w:color w:val="000000"/>
          <w:sz w:val="32"/>
          <w:szCs w:val="32"/>
        </w:rPr>
        <w:t>（一）“三公”经费财政拨款支出决算总体情况说明</w:t>
      </w:r>
      <w:bookmarkEnd w:id="46"/>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2019年“三公”经费财政拨款支出决算为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600" w:lineRule="exact"/>
        <w:ind w:firstLine="640"/>
        <w:outlineLvl w:val="2"/>
        <w:rPr>
          <w:rFonts w:hint="eastAsia" w:ascii="仿宋_GB2312" w:hAnsi="仿宋_GB2312" w:eastAsia="仿宋_GB2312" w:cs="仿宋_GB2312"/>
          <w:b/>
          <w:color w:val="000000"/>
          <w:sz w:val="32"/>
          <w:szCs w:val="32"/>
        </w:rPr>
      </w:pPr>
      <w:bookmarkStart w:id="47" w:name="_Toc15377217"/>
      <w:r>
        <w:rPr>
          <w:rFonts w:hint="eastAsia" w:ascii="仿宋_GB2312" w:hAnsi="仿宋_GB2312" w:eastAsia="仿宋_GB2312" w:cs="仿宋_GB2312"/>
          <w:b/>
          <w:color w:val="000000"/>
          <w:sz w:val="32"/>
          <w:szCs w:val="32"/>
        </w:rPr>
        <w:t>（二）“三公”经费财政拨款支出决算具体情况说明</w:t>
      </w:r>
      <w:bookmarkEnd w:id="47"/>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numPr>
          <w:ilvl w:val="0"/>
          <w:numId w:val="5"/>
        </w:numPr>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rPr>
        <w:t>因公出国（境）经费支出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Style w:val="14"/>
          <w:rFonts w:hint="eastAsia" w:ascii="仿宋_GB2312" w:hAnsi="仿宋_GB2312" w:eastAsia="仿宋_GB2312" w:cs="仿宋_GB2312"/>
          <w:b w:val="0"/>
          <w:bCs/>
          <w:color w:val="000000"/>
          <w:sz w:val="32"/>
          <w:szCs w:val="32"/>
        </w:rPr>
        <w:t>完成预算</w:t>
      </w:r>
      <w:r>
        <w:rPr>
          <w:rStyle w:val="14"/>
          <w:rFonts w:hint="eastAsia" w:ascii="仿宋_GB2312" w:hAnsi="仿宋_GB2312" w:eastAsia="仿宋_GB2312" w:cs="仿宋_GB2312"/>
          <w:b w:val="0"/>
          <w:bCs/>
          <w:color w:val="000000"/>
          <w:sz w:val="32"/>
          <w:szCs w:val="32"/>
          <w:lang w:val="en-US" w:eastAsia="zh-CN"/>
        </w:rPr>
        <w:t>0</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全年安排因公出国（境）团组</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次，出国（境）</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人。主要</w:t>
      </w:r>
    </w:p>
    <w:p>
      <w:pPr>
        <w:numPr>
          <w:ilvl w:val="0"/>
          <w:numId w:val="0"/>
        </w:numPr>
        <w:spacing w:line="60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Style w:val="14"/>
          <w:rFonts w:hint="eastAsia" w:ascii="仿宋_GB2312" w:hAnsi="仿宋_GB2312" w:eastAsia="仿宋_GB2312" w:cs="仿宋_GB2312"/>
          <w:b w:val="0"/>
          <w:bCs/>
          <w:color w:val="000000"/>
          <w:sz w:val="32"/>
          <w:szCs w:val="32"/>
        </w:rPr>
        <w:t>完成预算</w:t>
      </w:r>
      <w:r>
        <w:rPr>
          <w:rStyle w:val="14"/>
          <w:rFonts w:hint="eastAsia" w:ascii="仿宋_GB2312" w:hAnsi="仿宋_GB2312" w:eastAsia="仿宋_GB2312" w:cs="仿宋_GB2312"/>
          <w:b w:val="0"/>
          <w:bCs/>
          <w:color w:val="000000"/>
          <w:sz w:val="32"/>
          <w:szCs w:val="32"/>
          <w:lang w:val="en-US" w:eastAsia="zh-CN"/>
        </w:rPr>
        <w:t>0</w:t>
      </w:r>
      <w:r>
        <w:rPr>
          <w:rStyle w:val="14"/>
          <w:rFonts w:hint="eastAsia" w:ascii="仿宋_GB2312" w:hAnsi="仿宋_GB2312" w:eastAsia="仿宋_GB2312" w:cs="仿宋_GB2312"/>
          <w:b w:val="0"/>
          <w:bCs/>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b/>
          <w:color w:val="000000"/>
          <w:sz w:val="32"/>
          <w:szCs w:val="32"/>
          <w:lang w:val="en-US" w:eastAsia="zh-CN"/>
        </w:rPr>
        <w:t>0</w:t>
      </w:r>
      <w:r>
        <w:rPr>
          <w:rFonts w:hint="eastAsia" w:ascii="仿宋_GB2312" w:hAnsi="仿宋_GB2312" w:eastAsia="仿宋_GB2312" w:cs="仿宋_GB2312"/>
          <w:color w:val="000000"/>
          <w:sz w:val="32"/>
          <w:szCs w:val="32"/>
        </w:rPr>
        <w:t>万元。全年按规定更新购置公务用车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辆，金额</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元。截至2019年12月底，单位共有公务用车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辆，其中：主要领导干部用车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 执法执勤用车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eastAsia="zh-CN"/>
        </w:rPr>
        <w:t>。</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b/>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支出决算比2018年减少</w:t>
      </w:r>
      <w:r>
        <w:rPr>
          <w:rFonts w:hint="eastAsia" w:ascii="仿宋_GB2312" w:hAnsi="仿宋_GB2312" w:eastAsia="仿宋_GB2312" w:cs="仿宋_GB2312"/>
          <w:color w:val="000000"/>
          <w:sz w:val="32"/>
          <w:szCs w:val="32"/>
          <w:lang w:val="en-US" w:eastAsia="zh-CN"/>
        </w:rPr>
        <w:t>7.09</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由于公车改革，本单位无公务用车运行维护费支出。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公务接待费支出决算比2018年减少</w:t>
      </w:r>
      <w:r>
        <w:rPr>
          <w:rFonts w:hint="eastAsia" w:ascii="仿宋_GB2312" w:hAnsi="仿宋_GB2312" w:eastAsia="仿宋_GB2312" w:cs="仿宋_GB2312"/>
          <w:color w:val="000000"/>
          <w:sz w:val="32"/>
          <w:szCs w:val="32"/>
          <w:lang w:val="en-US" w:eastAsia="zh-CN"/>
        </w:rPr>
        <w:t>0.34</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本单位严格执行“中央八项规定”，节约开支，无“三公经费”预算。</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国内公务接待支出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外事接待支出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bookmarkStart w:id="48" w:name="_Toc15396610"/>
      <w:bookmarkStart w:id="49" w:name="_Toc15377218"/>
    </w:p>
    <w:p>
      <w:pPr>
        <w:spacing w:line="600" w:lineRule="exact"/>
        <w:ind w:firstLine="640"/>
        <w:outlineLvl w:val="1"/>
        <w:rPr>
          <w:rStyle w:val="25"/>
          <w:rFonts w:hint="eastAsia" w:ascii="仿宋_GB2312" w:hAnsi="仿宋_GB2312" w:eastAsia="仿宋_GB2312" w:cs="仿宋_GB2312"/>
        </w:rPr>
      </w:pPr>
      <w:r>
        <w:rPr>
          <w:rFonts w:hint="eastAsia" w:ascii="仿宋_GB2312" w:hAnsi="仿宋_GB2312" w:eastAsia="仿宋_GB2312" w:cs="仿宋_GB2312"/>
          <w:color w:val="000000"/>
          <w:sz w:val="32"/>
          <w:szCs w:val="32"/>
        </w:rPr>
        <w:t>八、</w:t>
      </w:r>
      <w:r>
        <w:rPr>
          <w:rStyle w:val="25"/>
          <w:rFonts w:hint="eastAsia" w:ascii="仿宋_GB2312" w:hAnsi="仿宋_GB2312" w:eastAsia="仿宋_GB2312" w:cs="仿宋_GB2312"/>
          <w:b w:val="0"/>
        </w:rPr>
        <w:t>政府性基金预算支出决算情况说明</w:t>
      </w:r>
      <w:bookmarkEnd w:id="48"/>
      <w:bookmarkEnd w:id="49"/>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2019年政府性基金预算拨款支出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numPr>
          <w:ilvl w:val="0"/>
          <w:numId w:val="6"/>
        </w:numPr>
        <w:spacing w:line="600" w:lineRule="exact"/>
        <w:ind w:firstLine="640"/>
        <w:outlineLvl w:val="1"/>
        <w:rPr>
          <w:rStyle w:val="25"/>
          <w:rFonts w:hint="eastAsia" w:ascii="仿宋_GB2312" w:hAnsi="仿宋_GB2312" w:eastAsia="仿宋_GB2312" w:cs="仿宋_GB2312"/>
          <w:b w:val="0"/>
        </w:rPr>
      </w:pPr>
      <w:bookmarkStart w:id="50" w:name="_Toc15377219"/>
      <w:bookmarkStart w:id="51" w:name="_Toc15396611"/>
      <w:r>
        <w:rPr>
          <w:rStyle w:val="25"/>
          <w:rFonts w:hint="eastAsia" w:ascii="仿宋_GB2312" w:hAnsi="仿宋_GB2312" w:eastAsia="仿宋_GB2312" w:cs="仿宋_GB2312"/>
          <w:b w:val="0"/>
        </w:rPr>
        <w:t>国有资本经营预算支出决算情况说明</w:t>
      </w:r>
      <w:bookmarkEnd w:id="50"/>
      <w:bookmarkEnd w:id="51"/>
    </w:p>
    <w:p>
      <w:pPr>
        <w:spacing w:line="600" w:lineRule="exact"/>
        <w:ind w:firstLine="640"/>
        <w:rPr>
          <w:rFonts w:hint="eastAsia" w:ascii="仿宋_GB2312" w:hAnsi="仿宋_GB2312" w:eastAsia="仿宋_GB2312" w:cs="仿宋_GB2312"/>
          <w:sz w:val="44"/>
          <w:szCs w:val="44"/>
        </w:rPr>
      </w:pPr>
      <w:r>
        <w:rPr>
          <w:rFonts w:hint="eastAsia" w:ascii="仿宋_GB2312" w:hAnsi="仿宋_GB2312" w:eastAsia="仿宋_GB2312" w:cs="仿宋_GB2312"/>
          <w:color w:val="000000"/>
          <w:sz w:val="32"/>
          <w:szCs w:val="32"/>
        </w:rPr>
        <w:t>2019年国有资本经营预算拨款支出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600" w:lineRule="exact"/>
        <w:ind w:firstLine="800" w:firstLineChars="250"/>
        <w:outlineLvl w:val="1"/>
        <w:rPr>
          <w:rStyle w:val="25"/>
          <w:rFonts w:hint="eastAsia" w:ascii="仿宋_GB2312" w:hAnsi="仿宋_GB2312" w:eastAsia="仿宋_GB2312" w:cs="仿宋_GB2312"/>
        </w:rPr>
      </w:pPr>
      <w:bookmarkStart w:id="52" w:name="_Toc15396612"/>
      <w:bookmarkStart w:id="53" w:name="_Toc15377221"/>
      <w:r>
        <w:rPr>
          <w:rFonts w:hint="eastAsia" w:ascii="仿宋_GB2312" w:hAnsi="仿宋_GB2312" w:eastAsia="仿宋_GB2312" w:cs="仿宋_GB2312"/>
          <w:color w:val="000000"/>
          <w:sz w:val="32"/>
          <w:szCs w:val="32"/>
        </w:rPr>
        <w:t>十</w:t>
      </w:r>
      <w:r>
        <w:rPr>
          <w:rStyle w:val="25"/>
          <w:rFonts w:hint="eastAsia" w:ascii="仿宋_GB2312" w:hAnsi="仿宋_GB2312" w:eastAsia="仿宋_GB2312" w:cs="仿宋_GB2312"/>
        </w:rPr>
        <w:t>、</w:t>
      </w:r>
      <w:r>
        <w:rPr>
          <w:rStyle w:val="25"/>
          <w:rFonts w:hint="eastAsia" w:ascii="仿宋_GB2312" w:hAnsi="仿宋_GB2312" w:eastAsia="仿宋_GB2312" w:cs="仿宋_GB2312"/>
          <w:b w:val="0"/>
        </w:rPr>
        <w:t>其他重要事项的情况说明</w:t>
      </w:r>
      <w:bookmarkEnd w:id="52"/>
      <w:bookmarkEnd w:id="53"/>
    </w:p>
    <w:p>
      <w:pPr>
        <w:spacing w:line="600" w:lineRule="exact"/>
        <w:ind w:firstLine="643" w:firstLineChars="200"/>
        <w:outlineLvl w:val="2"/>
        <w:rPr>
          <w:rFonts w:hint="eastAsia" w:ascii="仿宋_GB2312" w:hAnsi="仿宋_GB2312" w:eastAsia="仿宋_GB2312" w:cs="仿宋_GB2312"/>
          <w:color w:val="000000"/>
          <w:sz w:val="32"/>
          <w:szCs w:val="32"/>
        </w:rPr>
      </w:pPr>
      <w:bookmarkStart w:id="54" w:name="_Toc15377222"/>
      <w:r>
        <w:rPr>
          <w:rFonts w:hint="eastAsia" w:ascii="仿宋_GB2312" w:hAnsi="仿宋_GB2312" w:eastAsia="仿宋_GB2312" w:cs="仿宋_GB2312"/>
          <w:b/>
          <w:color w:val="000000"/>
          <w:sz w:val="32"/>
          <w:szCs w:val="32"/>
        </w:rPr>
        <w:t>（一）机关运行经费支出情况</w:t>
      </w:r>
      <w:bookmarkEnd w:id="54"/>
    </w:p>
    <w:p>
      <w:pPr>
        <w:spacing w:line="600" w:lineRule="exact"/>
        <w:ind w:firstLine="64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2019年，</w:t>
      </w:r>
      <w:r>
        <w:rPr>
          <w:rFonts w:hint="eastAsia" w:ascii="仿宋_GB2312" w:hAnsi="仿宋_GB2312" w:eastAsia="仿宋_GB2312" w:cs="仿宋_GB2312"/>
          <w:color w:val="000000"/>
          <w:sz w:val="32"/>
          <w:szCs w:val="32"/>
          <w:lang w:eastAsia="zh-CN"/>
        </w:rPr>
        <w:t>达州市达川区信访局</w:t>
      </w:r>
      <w:r>
        <w:rPr>
          <w:rFonts w:hint="eastAsia" w:ascii="仿宋_GB2312" w:hAnsi="仿宋_GB2312" w:eastAsia="仿宋_GB2312" w:cs="仿宋_GB2312"/>
          <w:color w:val="000000"/>
          <w:sz w:val="32"/>
          <w:szCs w:val="32"/>
        </w:rPr>
        <w:t>机关运行经费支出53.06万元，比2018年增加</w:t>
      </w:r>
      <w:r>
        <w:rPr>
          <w:rFonts w:hint="eastAsia" w:ascii="仿宋_GB2312" w:hAnsi="仿宋_GB2312" w:eastAsia="仿宋_GB2312" w:cs="仿宋_GB2312"/>
          <w:color w:val="000000"/>
          <w:sz w:val="32"/>
          <w:szCs w:val="32"/>
          <w:lang w:val="en-US" w:eastAsia="zh-CN"/>
        </w:rPr>
        <w:t>35.71</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205.82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themeColor="text1"/>
          <w:sz w:val="32"/>
          <w:szCs w:val="32"/>
        </w:rPr>
        <w:t>主要原因是</w:t>
      </w:r>
      <w:r>
        <w:rPr>
          <w:rFonts w:hint="eastAsia" w:ascii="仿宋_GB2312" w:hAnsi="仿宋_GB2312" w:eastAsia="仿宋_GB2312" w:cs="仿宋_GB2312"/>
          <w:color w:val="000000" w:themeColor="text1"/>
          <w:sz w:val="32"/>
          <w:szCs w:val="32"/>
          <w:lang w:eastAsia="zh-CN"/>
        </w:rPr>
        <w:t>由于迎接省巡视工作和突发的信访事件发生，用于信访工作开支加大。</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5" w:name="_Toc15377223"/>
      <w:r>
        <w:rPr>
          <w:rFonts w:hint="eastAsia" w:ascii="仿宋_GB2312" w:hAnsi="仿宋_GB2312" w:eastAsia="仿宋_GB2312" w:cs="仿宋_GB2312"/>
          <w:b/>
          <w:color w:val="000000"/>
          <w:sz w:val="32"/>
          <w:szCs w:val="32"/>
        </w:rPr>
        <w:t>（二）政府采购支出情况</w:t>
      </w:r>
      <w:bookmarkEnd w:id="55"/>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w:t>
      </w:r>
      <w:r>
        <w:rPr>
          <w:rFonts w:hint="eastAsia" w:ascii="仿宋_GB2312" w:hAnsi="仿宋_GB2312" w:eastAsia="仿宋_GB2312" w:cs="仿宋_GB2312"/>
          <w:color w:val="000000"/>
          <w:sz w:val="32"/>
          <w:szCs w:val="32"/>
          <w:lang w:eastAsia="zh-CN"/>
        </w:rPr>
        <w:t>达州市达川区信访局</w:t>
      </w:r>
      <w:r>
        <w:rPr>
          <w:rFonts w:hint="eastAsia" w:ascii="仿宋_GB2312" w:hAnsi="仿宋_GB2312" w:eastAsia="仿宋_GB2312" w:cs="仿宋_GB2312"/>
          <w:color w:val="000000"/>
          <w:sz w:val="32"/>
          <w:szCs w:val="32"/>
        </w:rPr>
        <w:t>政府采购支出总额</w:t>
      </w:r>
      <w:r>
        <w:rPr>
          <w:rFonts w:hint="eastAsia" w:ascii="仿宋_GB2312" w:hAnsi="仿宋_GB2312" w:eastAsia="仿宋_GB2312" w:cs="仿宋_GB2312"/>
          <w:color w:val="000000"/>
          <w:sz w:val="32"/>
          <w:szCs w:val="32"/>
          <w:lang w:val="en-US" w:eastAsia="zh-CN"/>
        </w:rPr>
        <w:t>3.28</w:t>
      </w:r>
      <w:r>
        <w:rPr>
          <w:rFonts w:hint="eastAsia" w:ascii="仿宋_GB2312" w:hAnsi="仿宋_GB2312" w:eastAsia="仿宋_GB2312" w:cs="仿宋_GB2312"/>
          <w:color w:val="000000"/>
          <w:sz w:val="32"/>
          <w:szCs w:val="32"/>
        </w:rPr>
        <w:t>万元，其中：政府采购货物支出</w:t>
      </w:r>
      <w:r>
        <w:rPr>
          <w:rFonts w:hint="eastAsia" w:ascii="仿宋_GB2312" w:hAnsi="仿宋_GB2312" w:eastAsia="仿宋_GB2312" w:cs="仿宋_GB2312"/>
          <w:color w:val="000000"/>
          <w:sz w:val="32"/>
          <w:szCs w:val="32"/>
          <w:lang w:val="en-US" w:eastAsia="zh-CN"/>
        </w:rPr>
        <w:t>3.28</w:t>
      </w:r>
      <w:r>
        <w:rPr>
          <w:rFonts w:hint="eastAsia" w:ascii="仿宋_GB2312" w:hAnsi="仿宋_GB2312" w:eastAsia="仿宋_GB2312" w:cs="仿宋_GB2312"/>
          <w:color w:val="000000"/>
          <w:sz w:val="32"/>
          <w:szCs w:val="32"/>
        </w:rPr>
        <w:t>万元、政府采购工程支出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万元、政府采购服务支出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本单位电脑购买，更新办公设备</w:t>
      </w:r>
      <w:r>
        <w:rPr>
          <w:rFonts w:hint="eastAsia" w:ascii="仿宋_GB2312" w:hAnsi="仿宋_GB2312" w:eastAsia="仿宋_GB2312" w:cs="仿宋_GB2312"/>
          <w:color w:val="000000"/>
          <w:sz w:val="32"/>
          <w:szCs w:val="32"/>
        </w:rPr>
        <w:t>（具体工作）。授予中小企业合同金额</w:t>
      </w:r>
      <w:r>
        <w:rPr>
          <w:rFonts w:hint="eastAsia" w:ascii="仿宋_GB2312" w:hAnsi="仿宋_GB2312" w:eastAsia="仿宋_GB2312" w:cs="仿宋_GB2312"/>
          <w:color w:val="000000"/>
          <w:sz w:val="32"/>
          <w:szCs w:val="32"/>
          <w:lang w:val="en-US" w:eastAsia="zh-CN"/>
        </w:rPr>
        <w:t>3.28</w:t>
      </w:r>
      <w:r>
        <w:rPr>
          <w:rFonts w:hint="eastAsia" w:ascii="仿宋_GB2312" w:hAnsi="仿宋_GB2312" w:eastAsia="仿宋_GB2312" w:cs="仿宋_GB2312"/>
          <w:color w:val="000000"/>
          <w:sz w:val="32"/>
          <w:szCs w:val="32"/>
        </w:rPr>
        <w:t>万元，占政府采购支出总额的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%，其中：授予小微企业合同金额</w:t>
      </w:r>
      <w:r>
        <w:rPr>
          <w:rFonts w:hint="eastAsia" w:ascii="仿宋_GB2312" w:hAnsi="仿宋_GB2312" w:eastAsia="仿宋_GB2312" w:cs="仿宋_GB2312"/>
          <w:color w:val="000000"/>
          <w:sz w:val="32"/>
          <w:szCs w:val="32"/>
          <w:lang w:val="en-US" w:eastAsia="zh-CN"/>
        </w:rPr>
        <w:t>3.28</w:t>
      </w:r>
      <w:r>
        <w:rPr>
          <w:rFonts w:hint="eastAsia" w:ascii="仿宋_GB2312" w:hAnsi="仿宋_GB2312" w:eastAsia="仿宋_GB2312" w:cs="仿宋_GB2312"/>
          <w:color w:val="000000"/>
          <w:sz w:val="32"/>
          <w:szCs w:val="32"/>
        </w:rPr>
        <w:t>万元，占政府采购支出总额的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p>
    <w:p>
      <w:pPr>
        <w:tabs>
          <w:tab w:val="right" w:pos="7666"/>
        </w:tabs>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lang w:eastAsia="zh-CN"/>
        </w:rPr>
      </w:pPr>
      <w:bookmarkStart w:id="56" w:name="_Toc15377224"/>
      <w:r>
        <w:rPr>
          <w:rFonts w:hint="eastAsia" w:ascii="仿宋_GB2312" w:hAnsi="仿宋_GB2312" w:eastAsia="仿宋_GB2312" w:cs="仿宋_GB2312"/>
          <w:b/>
          <w:color w:val="000000"/>
          <w:sz w:val="32"/>
          <w:szCs w:val="32"/>
        </w:rPr>
        <w:t>（三）国有资产占有使用情况</w:t>
      </w:r>
      <w:bookmarkEnd w:id="56"/>
      <w:r>
        <w:rPr>
          <w:rFonts w:hint="eastAsia" w:ascii="仿宋_GB2312" w:hAnsi="仿宋_GB2312" w:eastAsia="仿宋_GB2312" w:cs="仿宋_GB2312"/>
          <w:b/>
          <w:color w:val="000000"/>
          <w:sz w:val="32"/>
          <w:szCs w:val="32"/>
          <w:lang w:eastAsia="zh-CN"/>
        </w:rPr>
        <w:tab/>
      </w:r>
    </w:p>
    <w:p>
      <w:pPr>
        <w:autoSpaceDE w:val="0"/>
        <w:autoSpaceDN w:val="0"/>
        <w:adjustRightInd w:val="0"/>
        <w:spacing w:line="600" w:lineRule="exact"/>
        <w:ind w:firstLine="640" w:firstLineChars="200"/>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截至2019年12月31日，</w:t>
      </w:r>
      <w:r>
        <w:rPr>
          <w:rFonts w:hint="eastAsia" w:ascii="仿宋_GB2312" w:hAnsi="仿宋_GB2312" w:eastAsia="仿宋_GB2312" w:cs="仿宋_GB2312"/>
          <w:color w:val="000000"/>
          <w:sz w:val="32"/>
          <w:szCs w:val="32"/>
          <w:lang w:eastAsia="zh-CN"/>
        </w:rPr>
        <w:t>达州市达川区信访局</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辆，其中：主要领导干部用车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themeColor="text1"/>
          <w:sz w:val="32"/>
          <w:szCs w:val="32"/>
        </w:rPr>
        <w:t>其他用车主要是用于</w:t>
      </w:r>
      <w:r>
        <w:rPr>
          <w:rFonts w:hint="eastAsia" w:ascii="仿宋_GB2312" w:hAnsi="仿宋_GB2312" w:eastAsia="仿宋_GB2312" w:cs="仿宋_GB2312"/>
          <w:color w:val="000000" w:themeColor="text1"/>
          <w:sz w:val="32"/>
          <w:szCs w:val="32"/>
          <w:lang w:eastAsia="zh-CN"/>
        </w:rPr>
        <w:t>下乡解决信访问题。</w:t>
      </w:r>
      <w:r>
        <w:rPr>
          <w:rFonts w:hint="eastAsia" w:ascii="仿宋_GB2312" w:hAnsi="仿宋_GB2312" w:eastAsia="仿宋_GB2312" w:cs="仿宋_GB2312"/>
          <w:color w:val="000000" w:themeColor="text1"/>
          <w:sz w:val="32"/>
          <w:szCs w:val="32"/>
        </w:rPr>
        <w:t>单价50万元以上通用设备</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台（套），单价100</w:t>
      </w:r>
      <w:r>
        <w:rPr>
          <w:rFonts w:hint="eastAsia" w:ascii="仿宋_GB2312" w:hAnsi="仿宋_GB2312" w:eastAsia="仿宋_GB2312" w:cs="仿宋_GB2312"/>
          <w:color w:val="000000"/>
          <w:sz w:val="32"/>
          <w:szCs w:val="32"/>
        </w:rPr>
        <w:t>万元以上专用设备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党建、信访事务</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贯彻执行党和国家信访和群众工作的方针、政策、和法律、法规，拟定全区信访和群众工作的规章制度、政策及工作方案，并组织实施；管理全区信访和群众工作，负责承办对全县各乡镇和区级各部门信访和群众工作进行考核的具体事务；受理、交办、转送信访人提出的信访事项；承办上级和本级党委、政府交由处理的信访事项；协调处理重要信访事项；督促检查各乡镇、区级各部门党组织和行政信访事项的办理；研究分析信访情况，开展调查研究，及时向区委区政府提出完善政策和改进工作的建议；对区委所辖党组织的信访工作机构和区政府其他部门以及下级人民政府信访工作机构的信访工作进行指导。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个项目支出绩效评价，从评价情况来看建立健全党建工作责任制，形成党组统一领导，一把手负总责，分管领导具体负责，各级党组织抓落实的工作格局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实行集体领导与个人分工负责相结合，领导干部“一岗双责”，谁主管谁负责，一级一级，层层抓落实，做到党建工作与教育、教研、管理等工作一起部署、落实、检查、考核、总结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市委市政府、区委区政府要求，周密部署、精准施策、强化落实，扎实开展进京上访专项治理工作，采取强有力措施强化源头治理，着力抓好信访矛盾问题排查化解、初信初访便民办理、重新重访治理、信息预测预警预判、领导干部接访下访包案等工作，防止信转访、网转访、初转访正常访转非接待场所有关人员缠访闹访，确保各项工作落地落实。</w:t>
      </w:r>
    </w:p>
    <w:p>
      <w:pPr>
        <w:numPr>
          <w:ilvl w:val="0"/>
          <w:numId w:val="7"/>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信访事务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numPr>
          <w:ilvl w:val="0"/>
          <w:numId w:val="8"/>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党员开展学习活动，慰问困难党员，促进党群干部更融洽，提高了政治生态环境。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信访事务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76.50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62.40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81.57</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进京及蓉的信访量、越级上访量下降，促进化解信访疑难案件力度，提高群众的满意度。</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ind w:left="1084" w:hanging="1084" w:hangingChars="300"/>
              <w:jc w:val="center"/>
              <w:textAlignment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ind w:left="1084" w:hanging="1080" w:hangingChars="300"/>
              <w:jc w:val="center"/>
              <w:textAlignment w:val="center"/>
              <w:rPr>
                <w:rFonts w:ascii="宋体" w:hAnsi="宋体" w:cs="宋体"/>
                <w:color w:val="000000"/>
                <w:sz w:val="36"/>
                <w:szCs w:val="36"/>
              </w:rPr>
            </w:pP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6480" w:type="dxa"/>
              <w:tblInd w:w="-20" w:type="dxa"/>
              <w:shd w:val="clear" w:color="auto" w:fill="auto"/>
              <w:tblLayout w:type="fixed"/>
              <w:tblCellMar>
                <w:top w:w="0" w:type="dxa"/>
                <w:left w:w="0" w:type="dxa"/>
                <w:bottom w:w="0" w:type="dxa"/>
                <w:right w:w="0" w:type="dxa"/>
              </w:tblCellMar>
            </w:tblPr>
            <w:tblGrid>
              <w:gridCol w:w="6480"/>
            </w:tblGrid>
            <w:tr>
              <w:tblPrEx>
                <w:shd w:val="clear" w:color="auto" w:fill="auto"/>
                <w:tblCellMar>
                  <w:top w:w="0" w:type="dxa"/>
                  <w:left w:w="0" w:type="dxa"/>
                  <w:bottom w:w="0" w:type="dxa"/>
                  <w:right w:w="0" w:type="dxa"/>
                </w:tblCellMar>
              </w:tblPrEx>
              <w:trPr>
                <w:trHeight w:val="285" w:hRule="atLeast"/>
              </w:trPr>
              <w:tc>
                <w:tcPr>
                  <w:tcW w:w="6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党建经费</w:t>
                  </w:r>
                  <w:r>
                    <w:rPr>
                      <w:rFonts w:hint="eastAsia" w:ascii="宋体" w:hAnsi="宋体" w:eastAsia="宋体" w:cs="宋体"/>
                      <w:i w:val="0"/>
                      <w:color w:val="000000"/>
                      <w:sz w:val="24"/>
                      <w:szCs w:val="24"/>
                      <w:u w:val="none"/>
                    </w:rPr>
                    <w:tab/>
                  </w:r>
                </w:p>
              </w:tc>
            </w:tr>
          </w:tbl>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达州市达川区信访局</w:t>
            </w:r>
            <w:r>
              <w:rPr>
                <w:rFonts w:hint="eastAsia" w:ascii="宋体" w:hAnsi="宋体" w:cs="宋体"/>
                <w:color w:val="000000"/>
                <w:sz w:val="24"/>
              </w:rPr>
              <w:tab/>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立健全党建工作责任制，形成党组统一领导，一把手负总责，分管领导具体负责，各级党组织抓落实的工作格局。实行集体领导与个人分工负责相结合，领导干部“一岗双责”，谁主管谁负责，一级一级，层层抓落实，做到党建工作与教育、教研、管理等工作一起部署、落实、检查、考核、总结。</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立健全党建工作责任制，形成党组统一领导，一把手负总责，分管领导具体负责，各级党组织抓落实的工作格局。实行集体领导与个人分工负责相结合，领导干部“一岗双责”，谁主管谁负责，一级一级，层层抓落实，做到党建工作与教育、教研、管理等工作一起部署、落实、检查、考核、总结。</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开展学习活动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质量指标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按质按量完成学习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每次学习均要做会议记录或学习记录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每次学习均要做会议记录或学习记录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党章学习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上半年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上半年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党章学习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下半年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下半年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成本指标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日常办公经费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办公费5万元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办公费5万元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社区帮扶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买慰问品慰问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买慰问品慰问</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p>
            <w:pPr>
              <w:bidi w:val="0"/>
              <w:jc w:val="cente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慰问困难党员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买米油等慰问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买米油等慰问</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社会效益指标</w:t>
            </w:r>
          </w:p>
          <w:p>
            <w:pPr>
              <w:widowControl/>
              <w:jc w:val="center"/>
              <w:textAlignment w:val="cente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使党群干部更融洽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加强党员干部及群众之间的联系，确保系统关系更稳定。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加强党员干部及群众之间的联系，确保系统关系更稳定。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政治生态良好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没有反党言论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没有反党言论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p>
            <w:pPr>
              <w:widowControl/>
              <w:jc w:val="center"/>
              <w:textAlignment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可持续影响指标</w:t>
            </w:r>
          </w:p>
          <w:p>
            <w:pPr>
              <w:widowControl/>
              <w:jc w:val="center"/>
              <w:textAlignment w:val="cente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加强自身综合素质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促使党员干部加强学习，综合素质得到提高。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促使党员干部加强学习，综合素质得到提高。</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机关职工满意度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6480" w:type="dxa"/>
              <w:tblInd w:w="-20" w:type="dxa"/>
              <w:shd w:val="clear" w:color="auto" w:fill="auto"/>
              <w:tblLayout w:type="fixed"/>
              <w:tblCellMar>
                <w:top w:w="0" w:type="dxa"/>
                <w:left w:w="0" w:type="dxa"/>
                <w:bottom w:w="0" w:type="dxa"/>
                <w:right w:w="0" w:type="dxa"/>
              </w:tblCellMar>
            </w:tblPr>
            <w:tblGrid>
              <w:gridCol w:w="6480"/>
            </w:tblGrid>
            <w:tr>
              <w:tblPrEx>
                <w:shd w:val="clear" w:color="auto" w:fill="auto"/>
                <w:tblCellMar>
                  <w:top w:w="0" w:type="dxa"/>
                  <w:left w:w="0" w:type="dxa"/>
                  <w:bottom w:w="0" w:type="dxa"/>
                  <w:right w:w="0" w:type="dxa"/>
                </w:tblCellMar>
              </w:tblPrEx>
              <w:trPr>
                <w:trHeight w:val="285" w:hRule="atLeast"/>
              </w:trPr>
              <w:tc>
                <w:tcPr>
                  <w:tcW w:w="6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信访事务</w:t>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ab/>
                  </w:r>
                </w:p>
              </w:tc>
            </w:tr>
          </w:tbl>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达州市达川区信访局</w:t>
            </w:r>
            <w:r>
              <w:rPr>
                <w:rFonts w:hint="eastAsia" w:ascii="宋体" w:hAnsi="宋体" w:cs="宋体"/>
                <w:color w:val="000000"/>
                <w:sz w:val="24"/>
              </w:rPr>
              <w:tab/>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76.50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62.49</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76.50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 xml:space="preserve"> 62.49</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照市委市政府、区委区政府要求，周密部署、精准施策、强化落实，扎实开展进京上访专项治理工作，采取强有力措施强化源头治理，着力抓好信访矛盾问题排查化解、初信初访便民办理、重新重访治理、信息预测预警预判、领导干部接访下访包案等工作，防止信转访、网转访、初转访正常访转非接待场所有关人员缠访闹访，确保各项工作落地落实。</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照市委市政府、区委区政府要求，周密部署、精准施策、强化落实，扎实开展进京上访专项治理工作，采取强有力措施强化源头治理，着力抓好信访矛盾问题排查化解、初信初访便民办理、重新重访治理、信息预测预警预判、领导干部接访下访包案等工作，防止信转访、网转访、初转访正常访转非接待场所有关人员缠访闹访，确保各项工作落地落实。</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确保全区进京上访总量同比下降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年度下降40%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年度下降40%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质量指标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对进京越级访实行倒查制度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倒查是否及时就地解决信访问题，规范录入办理反馈等工作流程。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倒查是否及时就地解决信访问题，规范录入办理反馈等工作流程。</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案件办结到位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市级以上交办事项办结率达到100%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市级以上交办事项办结率达到100%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成本指标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日常公用经费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差旅费等</w:t>
            </w:r>
            <w:r>
              <w:rPr>
                <w:rFonts w:hint="eastAsia" w:ascii="宋体" w:hAnsi="宋体" w:cs="宋体"/>
                <w:color w:val="000000"/>
                <w:sz w:val="24"/>
                <w:lang w:val="en-US" w:eastAsia="zh-CN"/>
              </w:rPr>
              <w:t>70</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差旅费等7</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为化解疑难案件提供有力保障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强化目标导向和过程监管，采取联合督查、实地督查、特别暗房督查等方式强力推进问题化解、人员稳定工作。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强化目标导向和过程监管，采取联合督查、实地督查、特别暗房督查等方式强力推进问题化解、人员稳定工作。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社会效益指标</w:t>
            </w:r>
          </w:p>
          <w:p>
            <w:pPr>
              <w:widowControl/>
              <w:jc w:val="center"/>
              <w:textAlignment w:val="cente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促进信访秩序好转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上访大幅下降，社会更加和谐稳定。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上访大幅下降，社会更加和谐稳定。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p>
            <w:pPr>
              <w:widowControl/>
              <w:jc w:val="center"/>
              <w:textAlignment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可持续影响指标</w:t>
            </w:r>
          </w:p>
          <w:p>
            <w:pPr>
              <w:widowControl/>
              <w:jc w:val="center"/>
              <w:textAlignment w:val="cente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广大群众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ind w:left="630"/>
        <w:rPr>
          <w:rFonts w:ascii="仿宋_GB2312" w:hAnsi="仿宋_GB2312" w:eastAsia="仿宋_GB2312" w:cs="仿宋_GB2312"/>
          <w:sz w:val="32"/>
          <w:szCs w:val="32"/>
        </w:rPr>
      </w:pPr>
    </w:p>
    <w:p>
      <w:pPr>
        <w:spacing w:line="580" w:lineRule="exact"/>
        <w:ind w:left="630"/>
        <w:rPr>
          <w:rFonts w:hint="eastAsia" w:ascii="仿宋_GB2312" w:hAnsi="仿宋_GB2312" w:eastAsia="仿宋_GB2312" w:cs="仿宋_GB2312"/>
          <w:sz w:val="32"/>
          <w:szCs w:val="32"/>
          <w:lang w:val="en-US" w:eastAsia="zh-CN"/>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达州市达川区信访局</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信访事务</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项目2019年绩效评价报告》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信访事务</w:t>
      </w:r>
      <w:r>
        <w:rPr>
          <w:rFonts w:hint="eastAsia" w:ascii="仿宋_GB2312" w:hAnsi="仿宋_GB2312" w:eastAsia="仿宋_GB2312" w:cs="仿宋_GB2312"/>
          <w:sz w:val="32"/>
          <w:szCs w:val="32"/>
        </w:rPr>
        <w:t>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9"/>
        </w:numPr>
        <w:spacing w:line="600" w:lineRule="exact"/>
        <w:ind w:firstLine="660" w:firstLineChars="150"/>
        <w:jc w:val="center"/>
        <w:outlineLvl w:val="0"/>
        <w:rPr>
          <w:rStyle w:val="24"/>
          <w:rFonts w:ascii="黑体" w:hAnsi="黑体" w:eastAsia="黑体"/>
          <w:b w:val="0"/>
        </w:rPr>
      </w:pPr>
      <w:bookmarkStart w:id="57" w:name="_Toc15377225"/>
      <w:bookmarkStart w:id="58"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7"/>
      <w:bookmarkEnd w:id="58"/>
    </w:p>
    <w:p>
      <w:pPr>
        <w:spacing w:line="600" w:lineRule="exact"/>
        <w:jc w:val="left"/>
        <w:rPr>
          <w:rFonts w:ascii="宋体"/>
          <w:b/>
          <w:color w:val="000000"/>
          <w:sz w:val="44"/>
          <w:szCs w:val="44"/>
        </w:rPr>
      </w:pPr>
    </w:p>
    <w:p>
      <w:pPr>
        <w:pStyle w:val="22"/>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1.财政拨款收入：指单位从同级财政部门取得的财政预算资金。</w:t>
      </w:r>
    </w:p>
    <w:p>
      <w:pPr>
        <w:pStyle w:val="22"/>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2.事业收入：指事业单位开展专业业务活动及辅助活动取得的收入。</w:t>
      </w:r>
    </w:p>
    <w:p>
      <w:pPr>
        <w:pStyle w:val="22"/>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3.经营收入：指事业单位在专业业务活动及其辅助活动之外开展非独立核算经营活动取得的收入。</w:t>
      </w:r>
    </w:p>
    <w:p>
      <w:pPr>
        <w:pStyle w:val="22"/>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4.其他收入：指单位取得的除上述收入以外的各项收入。</w:t>
      </w:r>
    </w:p>
    <w:p>
      <w:pPr>
        <w:pStyle w:val="22"/>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6.年初结转和结余：指以前年度尚未完成、结转到本年按有关规定继续使用的资金。 </w:t>
      </w:r>
    </w:p>
    <w:p>
      <w:pPr>
        <w:pStyle w:val="22"/>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8、年末结转和结余：指单位按有关规定结转到下年或以后年度继续使用的资金。</w:t>
      </w:r>
    </w:p>
    <w:p>
      <w:pPr>
        <w:spacing w:line="578"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.一般公共服务（类）政府办公厅（室）及相关机构事务（款）行政运行（项）：指局机关及下属事业单位用于保障机构正常运行、开展日常工作的基本支出。</w:t>
      </w:r>
    </w:p>
    <w:p>
      <w:pPr>
        <w:spacing w:line="578"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.一般公共服务（类）政府办公厅（室）及相关机构事务（款）一般行政管理事务（项）：指局机关及下属事业单位开展</w:t>
      </w:r>
      <w:r>
        <w:rPr>
          <w:rFonts w:hint="eastAsia" w:asciiTheme="minorEastAsia" w:hAnsiTheme="minorEastAsia" w:eastAsiaTheme="minorEastAsia" w:cstheme="minorEastAsia"/>
          <w:sz w:val="32"/>
          <w:szCs w:val="32"/>
          <w:lang w:eastAsia="zh-CN"/>
        </w:rPr>
        <w:t>党建工作</w:t>
      </w:r>
      <w:r>
        <w:rPr>
          <w:rFonts w:hint="eastAsia" w:asciiTheme="minorEastAsia" w:hAnsiTheme="minorEastAsia" w:eastAsiaTheme="minorEastAsia" w:cstheme="minorEastAsia"/>
          <w:sz w:val="32"/>
          <w:szCs w:val="32"/>
        </w:rPr>
        <w:t>未单独设置项级科目的专门性项目支出。</w:t>
      </w:r>
    </w:p>
    <w:p>
      <w:pPr>
        <w:spacing w:line="578"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11.一般公共服务（类）政府办公厅（室）及相关机构事务（款）信访事务（项）：指局机关及下属事业单位开展信访工作的项目支出。</w:t>
      </w:r>
    </w:p>
    <w:p>
      <w:pPr>
        <w:spacing w:line="578"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w:t>
      </w:r>
      <w:r>
        <w:rPr>
          <w:rFonts w:hint="eastAsia" w:asciiTheme="minorEastAsia" w:hAnsiTheme="minorEastAsia" w:eastAsiaTheme="minorEastAsia" w:cstheme="minorEastAsia"/>
          <w:sz w:val="32"/>
          <w:szCs w:val="32"/>
          <w:lang w:eastAsia="zh-CN"/>
        </w:rPr>
        <w:t>职工</w:t>
      </w:r>
      <w:r>
        <w:rPr>
          <w:rFonts w:hint="eastAsia" w:asciiTheme="minorEastAsia" w:hAnsiTheme="minorEastAsia" w:eastAsiaTheme="minorEastAsia" w:cstheme="minorEastAsia"/>
          <w:sz w:val="32"/>
          <w:szCs w:val="32"/>
        </w:rPr>
        <w:t>养老保险费的支出。</w:t>
      </w:r>
    </w:p>
    <w:p>
      <w:pPr>
        <w:spacing w:line="578"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.卫生健康（类）行政事业单位医疗（款）行政单位医疗（项）：指单位用于缴纳单位</w:t>
      </w:r>
      <w:r>
        <w:rPr>
          <w:rFonts w:hint="eastAsia" w:asciiTheme="minorEastAsia" w:hAnsiTheme="minorEastAsia" w:eastAsiaTheme="minorEastAsia" w:cstheme="minorEastAsia"/>
          <w:sz w:val="32"/>
          <w:szCs w:val="32"/>
          <w:lang w:eastAsia="zh-CN"/>
        </w:rPr>
        <w:t>职工</w:t>
      </w:r>
      <w:r>
        <w:rPr>
          <w:rFonts w:hint="eastAsia" w:asciiTheme="minorEastAsia" w:hAnsiTheme="minorEastAsia" w:eastAsiaTheme="minorEastAsia" w:cstheme="minorEastAsia"/>
          <w:sz w:val="32"/>
          <w:szCs w:val="32"/>
        </w:rPr>
        <w:t>基本医疗保险支出。</w:t>
      </w:r>
    </w:p>
    <w:p>
      <w:pPr>
        <w:spacing w:line="578" w:lineRule="exact"/>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.住房保障（类）住房改革支出（款）住房公积金（项）：指按照《达州市住房公积金管理条例》的规定，由单位及其在职职工缴存的长期住房</w:t>
      </w:r>
      <w:r>
        <w:rPr>
          <w:rFonts w:hint="eastAsia" w:asciiTheme="minorEastAsia" w:hAnsiTheme="minorEastAsia" w:eastAsiaTheme="minorEastAsia" w:cstheme="minorEastAsia"/>
          <w:sz w:val="32"/>
          <w:szCs w:val="32"/>
          <w:lang w:eastAsia="zh-CN"/>
        </w:rPr>
        <w:t>积</w:t>
      </w:r>
      <w:r>
        <w:rPr>
          <w:rFonts w:hint="eastAsia" w:asciiTheme="minorEastAsia" w:hAnsiTheme="minorEastAsia" w:eastAsiaTheme="minorEastAsia" w:cstheme="minorEastAsia"/>
          <w:sz w:val="32"/>
          <w:szCs w:val="32"/>
        </w:rPr>
        <w:t>金。</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val="en-US" w:eastAsia="zh-CN"/>
        </w:rPr>
        <w:t>15</w:t>
      </w:r>
      <w:r>
        <w:rPr>
          <w:rFonts w:hint="eastAsia" w:asciiTheme="minorEastAsia" w:hAnsiTheme="minorEastAsia" w:eastAsiaTheme="minorEastAsia" w:cstheme="minorEastAsia"/>
          <w:color w:val="000000"/>
          <w:sz w:val="32"/>
          <w:szCs w:val="32"/>
        </w:rPr>
        <w:t>.基本支出：指为保障机构正常运转、完成日常工作任务而发生的人员支出和公用支出。</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val="en-US" w:eastAsia="zh-CN"/>
        </w:rPr>
        <w:t>16</w:t>
      </w:r>
      <w:r>
        <w:rPr>
          <w:rFonts w:hint="eastAsia" w:asciiTheme="minorEastAsia" w:hAnsiTheme="minorEastAsia" w:eastAsiaTheme="minorEastAsia" w:cstheme="minorEastAsia"/>
          <w:color w:val="000000"/>
          <w:sz w:val="32"/>
          <w:szCs w:val="32"/>
        </w:rPr>
        <w:t xml:space="preserve">.项目支出：指在基本支出之外为完成特定行政任务和事业发展目标所发生的支出。 </w:t>
      </w:r>
    </w:p>
    <w:p>
      <w:pPr>
        <w:pStyle w:val="22"/>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hint="eastAsia" w:asciiTheme="minorEastAsia" w:hAnsiTheme="minorEastAsia" w:eastAsiaTheme="minorEastAsia" w:cstheme="minorEastAsia"/>
          <w:sz w:val="32"/>
          <w:szCs w:val="32"/>
        </w:rPr>
      </w:pPr>
    </w:p>
    <w:p>
      <w:pPr>
        <w:spacing w:line="600" w:lineRule="exact"/>
        <w:jc w:val="center"/>
        <w:outlineLvl w:val="0"/>
        <w:rPr>
          <w:rFonts w:hint="eastAsia" w:asciiTheme="minorEastAsia" w:hAnsiTheme="minorEastAsia" w:eastAsiaTheme="minorEastAsia" w:cstheme="minorEastAsia"/>
          <w:color w:val="000000"/>
          <w:sz w:val="32"/>
          <w:szCs w:val="32"/>
        </w:rPr>
      </w:pPr>
      <w:bookmarkStart w:id="59" w:name="_Toc15396614"/>
      <w:bookmarkStart w:id="60"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9"/>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Theme="majorEastAsia" w:hAnsiTheme="majorEastAsia" w:eastAsiaTheme="majorEastAsia" w:cstheme="majorEastAsia"/>
          <w:b/>
          <w:bCs/>
          <w:color w:val="000000"/>
          <w:kern w:val="0"/>
          <w:sz w:val="40"/>
          <w:szCs w:val="44"/>
          <w:lang w:val="zh-CN"/>
        </w:rPr>
      </w:pPr>
      <w:r>
        <w:rPr>
          <w:rFonts w:hint="eastAsia" w:asciiTheme="majorEastAsia" w:hAnsiTheme="majorEastAsia" w:eastAsiaTheme="majorEastAsia" w:cstheme="majorEastAsia"/>
          <w:b/>
          <w:bCs/>
          <w:color w:val="000000"/>
          <w:kern w:val="0"/>
          <w:sz w:val="40"/>
          <w:szCs w:val="44"/>
          <w:lang w:eastAsia="zh-CN"/>
        </w:rPr>
        <w:t>达州市达川区信访局</w:t>
      </w:r>
      <w:r>
        <w:rPr>
          <w:rFonts w:hint="eastAsia" w:asciiTheme="majorEastAsia" w:hAnsiTheme="majorEastAsia" w:eastAsiaTheme="majorEastAsia" w:cstheme="majorEastAsia"/>
          <w:b/>
          <w:bCs/>
          <w:color w:val="000000"/>
          <w:kern w:val="0"/>
          <w:sz w:val="40"/>
          <w:szCs w:val="44"/>
        </w:rPr>
        <w:t>部门</w:t>
      </w:r>
      <w:r>
        <w:rPr>
          <w:rFonts w:hint="eastAsia" w:asciiTheme="majorEastAsia" w:hAnsiTheme="majorEastAsia" w:eastAsiaTheme="majorEastAsia" w:cstheme="majorEastAsia"/>
          <w:b/>
          <w:bCs/>
          <w:color w:val="000000"/>
          <w:kern w:val="0"/>
          <w:sz w:val="40"/>
          <w:szCs w:val="44"/>
          <w:lang w:val="zh-CN"/>
        </w:rPr>
        <w:t>整体支出</w:t>
      </w:r>
    </w:p>
    <w:p>
      <w:pPr>
        <w:spacing w:line="600" w:lineRule="exact"/>
        <w:jc w:val="center"/>
        <w:rPr>
          <w:rFonts w:hint="eastAsia" w:asciiTheme="majorEastAsia" w:hAnsiTheme="majorEastAsia" w:eastAsiaTheme="majorEastAsia" w:cstheme="majorEastAsia"/>
          <w:color w:val="000000"/>
          <w:kern w:val="0"/>
          <w:sz w:val="24"/>
          <w:szCs w:val="32"/>
          <w:shd w:val="clear" w:color="auto" w:fill="FFFFFF"/>
        </w:rPr>
      </w:pPr>
      <w:r>
        <w:rPr>
          <w:rFonts w:hint="eastAsia" w:asciiTheme="majorEastAsia" w:hAnsiTheme="majorEastAsia" w:eastAsiaTheme="majorEastAsia" w:cstheme="majorEastAsia"/>
          <w:b/>
          <w:bCs/>
          <w:color w:val="000000"/>
          <w:kern w:val="0"/>
          <w:sz w:val="40"/>
          <w:szCs w:val="44"/>
          <w:lang w:val="zh-CN"/>
        </w:rPr>
        <w:t>绩效评价报告</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rPr>
        <w:t>一、</w:t>
      </w:r>
      <w:r>
        <w:rPr>
          <w:rFonts w:hint="eastAsia" w:asciiTheme="minorEastAsia" w:hAnsiTheme="minorEastAsia" w:eastAsiaTheme="minorEastAsia" w:cstheme="minorEastAsia"/>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（一）机构组成。</w:t>
      </w:r>
    </w:p>
    <w:p>
      <w:pPr>
        <w:widowControl/>
        <w:adjustRightInd w:val="0"/>
        <w:snapToGrid w:val="0"/>
        <w:spacing w:line="580" w:lineRule="exact"/>
        <w:ind w:firstLine="800" w:firstLineChars="25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sz w:val="32"/>
          <w:szCs w:val="32"/>
        </w:rPr>
        <w:t>我局设四股一室一中心：办公室、办信股、政工人事股（党建办）、督办股（复查复核股）、接访股、群众接待中心。</w:t>
      </w:r>
    </w:p>
    <w:p>
      <w:pPr>
        <w:widowControl/>
        <w:numPr>
          <w:ilvl w:val="0"/>
          <w:numId w:val="1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机构职能。</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一是贯彻执行党和国家信访和群众工作方针、政策和法律、法规，拟定全区信访和群众工作的规章制度及工作方案，并组织实施。</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二是处理全区群众来信来访事项，保障信访渠道畅通；反映来信来访中提出的重要建议、意见和问题；综合分析信访信息，开展调查研究，提出制定有关方针政策的建议。</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三是承办上级信访部门和领导交办的信访事项，督促检查领导有关交办、批示件的落实情况；向各乡（镇）和区级部门交办信访事项，督促检查重要信访事项的处理和落实。</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四是协调处理跨地区、跨部门的重要信访问题；协调处理群众集体上访和异常、突发信访事件；检查、督促、协调各乡（镇）和区级部门的信访和群众工作。</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五是指导全区信访工作；总结推广各地、各部门信访和群众工作经验，提出改进和加强信访工作的意见和建议；承办对全区信访和群众工作进行考核的具体事务。</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六是了解并掌握信访和群众工作队伍建设情况，组织信访干部培训；指导信访工作部门系统建设。</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七是负责信访工作的宣传和信息发布。</w:t>
      </w:r>
    </w:p>
    <w:p>
      <w:pPr>
        <w:widowControl/>
        <w:numPr>
          <w:ilvl w:val="0"/>
          <w:numId w:val="0"/>
        </w:numPr>
        <w:adjustRightInd w:val="0"/>
        <w:snapToGrid w:val="0"/>
        <w:spacing w:line="580" w:lineRule="exact"/>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八是负责对所属单位的领导和管理。</w:t>
      </w:r>
    </w:p>
    <w:p>
      <w:pPr>
        <w:widowControl/>
        <w:numPr>
          <w:ilvl w:val="0"/>
          <w:numId w:val="10"/>
        </w:numPr>
        <w:adjustRightInd w:val="0"/>
        <w:snapToGrid w:val="0"/>
        <w:spacing w:line="580" w:lineRule="exact"/>
        <w:ind w:left="0" w:leftChars="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人员概况。</w:t>
      </w:r>
    </w:p>
    <w:p>
      <w:pPr>
        <w:widowControl/>
        <w:numPr>
          <w:ilvl w:val="0"/>
          <w:numId w:val="0"/>
        </w:numPr>
        <w:tabs>
          <w:tab w:val="left" w:pos="1168"/>
        </w:tabs>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eastAsia="zh-CN"/>
        </w:rPr>
      </w:pPr>
      <w:r>
        <w:rPr>
          <w:rFonts w:hint="eastAsia" w:asciiTheme="minorEastAsia" w:hAnsiTheme="minorEastAsia" w:eastAsiaTheme="minorEastAsia" w:cstheme="minorEastAsia"/>
          <w:color w:val="000000"/>
          <w:kern w:val="0"/>
          <w:sz w:val="32"/>
          <w:szCs w:val="32"/>
          <w:shd w:val="clear" w:color="auto" w:fill="FFFFFF"/>
          <w:lang w:eastAsia="zh-CN"/>
        </w:rPr>
        <w:t>本单位编制人数28人，其中事业编制14人、行政编制14人。</w:t>
      </w:r>
    </w:p>
    <w:p>
      <w:pPr>
        <w:widowControl/>
        <w:numPr>
          <w:ilvl w:val="0"/>
          <w:numId w:val="0"/>
        </w:numPr>
        <w:adjustRightInd w:val="0"/>
        <w:snapToGrid w:val="0"/>
        <w:spacing w:line="580" w:lineRule="exact"/>
        <w:ind w:firstLine="960" w:firstLineChars="300"/>
        <w:contextualSpacing/>
        <w:jc w:val="left"/>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2019年我局本年收入合计526.91万元，其中：一般公共预算财政拨款收入515.14万元、政府性基金预算财政拨款收入11.77万元。</w:t>
      </w:r>
    </w:p>
    <w:p>
      <w:pPr>
        <w:widowControl/>
        <w:numPr>
          <w:ilvl w:val="0"/>
          <w:numId w:val="11"/>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2019年达州市达川区信访局本级本年支出501.13万元，其中：基本支出373.64万元（人员经费320.59万元和日常公用经费53.06万元），项目支出127.49万元。</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1、报送时效。</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按照区财政会2019年部门预算编制通知要求，按时完成部门年初预算编制工作。及时上报相关股室进行审核，对所编制的预算予以调整通过。</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2、编制质量。</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在编制过程中，按照严格审慎原则认真核实单位实际财政供养人数和单位实有编制情况，正确编制人员经费和公用经费等，做到尽量细化资金支出预算范围和科目，预算编制全面完整、科学合理、可操作性强。</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3、目标明确。</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在预算编制全面完整、科学合理、可操作性强的基础上，编制预算绩效目标，尽量节约行政运行成本，同时保障我局各项工作顺利推进。</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4、部门预算执行进度情况。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按《预算法》和财政有关规定，职工工资等人员经费按月发放，专项工作经费专款专用，按实报销。在支付方式上，工资实行财政直接支付，专项资金实行专项管理，公用经费申请授权支付并尽量采取公务卡支付，或转账支付，尽量减少现金支出（零星支出）。</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5、预算约束刚性情况。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 xml:space="preserve">预算下达后，我局严格按照预算编制使用各项资金，做到专款专用。  </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6、行政运行成本控制情况。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认真开展厉行节约反对浪费规定学习的同时，倡导全体机关工作人员弘扬艰苦奋斗、勤俭节约的优良作风，进一步推进建设节约型机关。办公室、会议室等尽量采用自然光，尽可能少开灯或不开灯；做到离开办公室随手关灯，杜绝“长明灯”、“白昼灯”；下班后自觉关闭各类电器设备电源；强化节水意识，切实做到节约每一滴水，使广大干部职工养成良好的节水习惯；加强办公用品的使用管理，规范办公用品的采购，积极推行网络办公，尽量在电子媒介上撰写、修改文稿；严控三公经费开支。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我局对绩效自评进行公开，严格按照上级及财政局的要求认真开展了自查自纠，对评价中发现问题及时改正，规范财务管理。</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总体看，我单位预算编制及执行决算较为准确，支出管理较为规范，财务管理制度较完善，部门整体绩效较好。部门支出绩效自评得分为</w:t>
      </w:r>
      <w:r>
        <w:rPr>
          <w:rFonts w:hint="eastAsia" w:asciiTheme="minorEastAsia" w:hAnsiTheme="minorEastAsia" w:eastAsiaTheme="minorEastAsia" w:cstheme="minorEastAsia"/>
          <w:color w:val="000000"/>
          <w:kern w:val="0"/>
          <w:sz w:val="32"/>
          <w:szCs w:val="32"/>
          <w:shd w:val="clear" w:color="auto" w:fill="FFFFFF"/>
          <w:lang w:val="en-US" w:eastAsia="zh-CN"/>
        </w:rPr>
        <w:t>90</w:t>
      </w:r>
      <w:r>
        <w:rPr>
          <w:rFonts w:hint="eastAsia" w:asciiTheme="minorEastAsia" w:hAnsiTheme="minorEastAsia" w:eastAsiaTheme="minorEastAsia" w:cstheme="minorEastAsia"/>
          <w:color w:val="000000"/>
          <w:kern w:val="0"/>
          <w:sz w:val="32"/>
          <w:szCs w:val="32"/>
          <w:shd w:val="clear" w:color="auto" w:fill="FFFFFF"/>
          <w:lang w:val="zh-CN"/>
        </w:rPr>
        <w:t>分。</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（二）存在问题。</w:t>
      </w:r>
    </w:p>
    <w:p>
      <w:pPr>
        <w:widowControl/>
        <w:numPr>
          <w:ilvl w:val="0"/>
          <w:numId w:val="0"/>
        </w:numPr>
        <w:adjustRightInd w:val="0"/>
        <w:snapToGrid w:val="0"/>
        <w:spacing w:line="580" w:lineRule="exact"/>
        <w:ind w:leftChars="200" w:firstLine="320" w:firstLineChars="1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1、预算编制方面。</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一是预算编制的方法上不科学，没有及时学习新的预算编制方法；二是在内容上存在不完整和不是特别细化一些项目资金。</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2、政府采购方面。</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 xml:space="preserve">一是存在依法采购意识不强；二是计划性不强、采购单次规模小且零散，影响了政府采购的效益；三是缺乏合格的高素质的采购专门人才，影响评审质量和公正原则。                                                                                                                                                                                                                                                                                                                                                                                                                                                                                                                                                                                                                                                                                                                                                                                                                                                                                                                                                                                                                                                                                                                                                                                                                                                                                                                                                                                                                                                                                                                                                                                                                                                                                                                                                                                                                                                                                                                                                                                                                                                                                                                                                                                                                                                                                                                                                                                                                                                                                                                                                                                                                                                                                                                                                                                                                                                                                                                                                                                                                                                                                                                                                                                                                                                                                                                                                                                                                                                                                                                                                                                                                                                                                                                                                                                                                                                                                                                                                                                                                                                                                                                                       </w:t>
      </w:r>
      <w:r>
        <w:rPr>
          <w:rFonts w:hint="eastAsia" w:asciiTheme="minorEastAsia" w:hAnsiTheme="minorEastAsia" w:eastAsiaTheme="minorEastAsia" w:cstheme="minorEastAsia"/>
          <w:color w:val="000000"/>
          <w:kern w:val="0"/>
          <w:sz w:val="32"/>
          <w:szCs w:val="32"/>
          <w:shd w:val="clear" w:color="auto" w:fill="FFFFFF"/>
          <w:lang w:val="zh-CN"/>
        </w:rPr>
        <w:t xml:space="preserve">                                                                                                                                                                                                                                                                                                                                                                                                                                                                                                                                                                                                                                                                                                                                                                                                                                                                                                                                                                                                                                                                                                                                                                                                                                                                                                                                                                                                                                                                                                                                                                                                                                                                                                                                                                                                                                                                                                                                                                                                                                                                                                                                                                                                                                                                                                                                                                                                                                                                                                                                                                                                                                                                                                                                                                                                                                                                                                                                                                                                                                                                                                                                                                                                                                                                                                                                                                                                                                                                                                                                                                                                                                                                                                                                                                                                                                                                                                                                                                                                                                                                                             </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3、资产管理方面。</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一是责任不明确，对于固定资产的内部管理不能做到心中有数，造成资产管理的不规范。二是对报废固定资产未及时进行处理。</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4、财务管理及会计核算方面。</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一是财务管理制度有待进一步完善；二是在会计核算方面的专业水平需进一步提高；三是因单位小，人员少，在财务方面的一些管理重视程度不够。</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5、人员管理方面。</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我局人员少，在人员管理方面存在分工不明确的问题；二是一些人员有时候对工作认识不到位，缺乏全局观念。</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en-US" w:eastAsia="zh-CN"/>
        </w:rPr>
        <w:t>(三)</w:t>
      </w:r>
      <w:r>
        <w:rPr>
          <w:rFonts w:hint="eastAsia" w:asciiTheme="minorEastAsia" w:hAnsiTheme="minorEastAsia" w:eastAsiaTheme="minorEastAsia" w:cstheme="minorEastAsia"/>
          <w:color w:val="000000"/>
          <w:kern w:val="0"/>
          <w:sz w:val="32"/>
          <w:szCs w:val="32"/>
          <w:shd w:val="clear" w:color="auto" w:fill="FFFFFF"/>
          <w:lang w:val="zh-CN"/>
        </w:rPr>
        <w:t>改进建议。</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1、提高预算编制质量。</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一是确定编制标准，增强预算编制的科学性；二是完善预算编制与执行制衡机制，提高预算编制的约束力；三是加强对业务人员的培训，提高编制能力。</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2、严格执行政府采购。</w:t>
      </w:r>
    </w:p>
    <w:p>
      <w:pPr>
        <w:widowControl/>
        <w:numPr>
          <w:ilvl w:val="0"/>
          <w:numId w:val="0"/>
        </w:numPr>
        <w:adjustRightInd w:val="0"/>
        <w:snapToGrid w:val="0"/>
        <w:spacing w:line="580" w:lineRule="exact"/>
        <w:ind w:leftChars="20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一是做好政府采购预算工作；二是按照政府采购法进行采购；三是增加政府采购人员的综合素质和业务水平。</w:t>
      </w:r>
    </w:p>
    <w:p>
      <w:pPr>
        <w:widowControl/>
        <w:numPr>
          <w:ilvl w:val="0"/>
          <w:numId w:val="0"/>
        </w:numPr>
        <w:adjustRightInd w:val="0"/>
        <w:snapToGrid w:val="0"/>
        <w:spacing w:line="580" w:lineRule="exact"/>
        <w:ind w:firstLine="960" w:firstLineChars="3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3、加强资产管理。</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一是存在依法采购意识不强；二是计划性不强、采购单次规模小且零散，影响了政府采购的效益；三是缺乏合格的高素质的采购专门人才，影响评审质量和公正原则。  </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4、强化资金财务管理。一是按月编制“银行存款余额调节表”，使单位账面余额与银行对账单余额调节相符。二是严把资金支付审核关，严格检查入账发票的准确性，核实原始凭证的完整性。</w:t>
      </w:r>
    </w:p>
    <w:p>
      <w:pPr>
        <w:widowControl/>
        <w:numPr>
          <w:ilvl w:val="0"/>
          <w:numId w:val="0"/>
        </w:numPr>
        <w:adjustRightInd w:val="0"/>
        <w:snapToGrid w:val="0"/>
        <w:spacing w:line="580" w:lineRule="exact"/>
        <w:ind w:leftChars="200" w:firstLine="320" w:firstLineChars="1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5、人员管理。</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一是及时向组织和领导汇报，配齐工作人员，提高工作效率。二是要有全局意识，提升思想高度。</w:t>
      </w:r>
    </w:p>
    <w:p>
      <w:pPr>
        <w:widowControl/>
        <w:numPr>
          <w:ilvl w:val="0"/>
          <w:numId w:val="0"/>
        </w:numPr>
        <w:adjustRightInd w:val="0"/>
        <w:snapToGrid w:val="0"/>
        <w:spacing w:line="580" w:lineRule="exact"/>
        <w:ind w:left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spacing w:line="58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附件2</w:t>
      </w:r>
    </w:p>
    <w:p>
      <w:pPr>
        <w:widowControl/>
        <w:numPr>
          <w:ilvl w:val="0"/>
          <w:numId w:val="0"/>
        </w:numPr>
        <w:adjustRightInd w:val="0"/>
        <w:snapToGrid w:val="0"/>
        <w:spacing w:line="580" w:lineRule="exact"/>
        <w:ind w:leftChars="200"/>
        <w:contextualSpacing/>
        <w:jc w:val="center"/>
        <w:rPr>
          <w:rFonts w:hint="eastAsia" w:asciiTheme="minorEastAsia" w:hAnsiTheme="minorEastAsia" w:eastAsiaTheme="minorEastAsia" w:cstheme="minorEastAsia"/>
          <w:b/>
          <w:bCs/>
          <w:color w:val="000000"/>
          <w:kern w:val="0"/>
          <w:sz w:val="52"/>
          <w:szCs w:val="52"/>
          <w:shd w:val="clear" w:color="auto" w:fill="FFFFFF"/>
          <w:lang w:val="zh-CN"/>
        </w:rPr>
      </w:pPr>
    </w:p>
    <w:p>
      <w:pPr>
        <w:widowControl/>
        <w:numPr>
          <w:ilvl w:val="0"/>
          <w:numId w:val="0"/>
        </w:numPr>
        <w:adjustRightInd w:val="0"/>
        <w:snapToGrid w:val="0"/>
        <w:spacing w:line="580" w:lineRule="exact"/>
        <w:ind w:leftChars="200"/>
        <w:contextualSpacing/>
        <w:jc w:val="center"/>
        <w:rPr>
          <w:rFonts w:hint="eastAsia" w:asciiTheme="majorEastAsia" w:hAnsiTheme="majorEastAsia" w:eastAsiaTheme="majorEastAsia" w:cstheme="majorEastAsia"/>
          <w:b/>
          <w:bCs/>
          <w:color w:val="000000"/>
          <w:kern w:val="0"/>
          <w:sz w:val="52"/>
          <w:szCs w:val="52"/>
          <w:shd w:val="clear" w:color="auto" w:fill="FFFFFF"/>
          <w:lang w:val="zh-CN"/>
        </w:rPr>
      </w:pPr>
      <w:r>
        <w:rPr>
          <w:rFonts w:hint="eastAsia" w:asciiTheme="majorEastAsia" w:hAnsiTheme="majorEastAsia" w:eastAsiaTheme="majorEastAsia" w:cstheme="majorEastAsia"/>
          <w:b/>
          <w:bCs/>
          <w:color w:val="000000"/>
          <w:kern w:val="0"/>
          <w:sz w:val="52"/>
          <w:szCs w:val="52"/>
          <w:shd w:val="clear" w:color="auto" w:fill="FFFFFF"/>
          <w:lang w:val="zh-CN"/>
        </w:rPr>
        <w:t>达州市达川区信访局党建项目</w:t>
      </w:r>
    </w:p>
    <w:p>
      <w:pPr>
        <w:widowControl/>
        <w:numPr>
          <w:ilvl w:val="0"/>
          <w:numId w:val="0"/>
        </w:numPr>
        <w:adjustRightInd w:val="0"/>
        <w:snapToGrid w:val="0"/>
        <w:spacing w:line="580" w:lineRule="exact"/>
        <w:ind w:leftChars="200"/>
        <w:contextualSpacing/>
        <w:jc w:val="center"/>
        <w:rPr>
          <w:rFonts w:hint="eastAsia" w:asciiTheme="majorEastAsia" w:hAnsiTheme="majorEastAsia" w:eastAsiaTheme="majorEastAsia" w:cstheme="majorEastAsia"/>
          <w:b/>
          <w:bCs/>
          <w:color w:val="000000"/>
          <w:kern w:val="0"/>
          <w:sz w:val="52"/>
          <w:szCs w:val="52"/>
          <w:shd w:val="clear" w:color="auto" w:fill="FFFFFF"/>
          <w:lang w:val="zh-CN"/>
        </w:rPr>
      </w:pPr>
      <w:r>
        <w:rPr>
          <w:rFonts w:hint="eastAsia" w:asciiTheme="majorEastAsia" w:hAnsiTheme="majorEastAsia" w:eastAsiaTheme="majorEastAsia" w:cstheme="majorEastAsia"/>
          <w:b/>
          <w:bCs/>
          <w:color w:val="000000"/>
          <w:kern w:val="0"/>
          <w:sz w:val="52"/>
          <w:szCs w:val="52"/>
          <w:shd w:val="clear" w:color="auto" w:fill="FFFFFF"/>
          <w:lang w:val="zh-CN"/>
        </w:rPr>
        <w:t>支出绩效自评报告</w:t>
      </w:r>
    </w:p>
    <w:p>
      <w:pPr>
        <w:widowControl/>
        <w:numPr>
          <w:ilvl w:val="0"/>
          <w:numId w:val="0"/>
        </w:numPr>
        <w:tabs>
          <w:tab w:val="left" w:pos="591"/>
        </w:tabs>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ab/>
      </w:r>
      <w:r>
        <w:rPr>
          <w:rFonts w:hint="eastAsia" w:asciiTheme="minorEastAsia" w:hAnsiTheme="minorEastAsia" w:eastAsiaTheme="minorEastAsia" w:cstheme="minorEastAsia"/>
          <w:color w:val="000000"/>
          <w:kern w:val="0"/>
          <w:sz w:val="32"/>
          <w:szCs w:val="32"/>
          <w:shd w:val="clear" w:color="auto" w:fill="FFFFFF"/>
          <w:lang w:val="zh-CN"/>
        </w:rPr>
        <w:t>一、项目概况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（一）项目基本情况。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1、党建是信访局开展党建工作所需的专项经费，保障达川区信访局党建工作正常运转的项目工作经费。</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2、党建专项经费是区财政核拨的信访局党建工作经费，2019年预算下达到本单位的信访事务专项活动经费5万元。</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（二）项目绩效目标。</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1、信访事务经费主要用于：建立健全党建工作责任制，形成党组统一领导，一把手负总责，分管领导具体负责，各级党组织抓落实的工作格局。实行集体领导与个人分工负责相结合，领导干部“一岗双责”，谁主管谁负责，一级一级，层层抓落实，做到党建工作与教育、教研、管理等工作一起部署、落实、检查、考核、总结。</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2、项目用于党建专项办公经费、印刷费用、培训费、其他费用共计5万元。本年度党建经费按计划部分实施到位，完成率100%。</w:t>
      </w:r>
    </w:p>
    <w:p>
      <w:pPr>
        <w:widowControl/>
        <w:numPr>
          <w:ilvl w:val="0"/>
          <w:numId w:val="0"/>
        </w:numPr>
        <w:adjustRightInd w:val="0"/>
        <w:snapToGrid w:val="0"/>
        <w:spacing w:line="580" w:lineRule="exact"/>
        <w:ind w:leftChars="200" w:firstLine="320" w:firstLineChars="1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3、分析评价申报内容与实际相符，申报目标合理可行。</w:t>
      </w:r>
    </w:p>
    <w:p>
      <w:pPr>
        <w:widowControl/>
        <w:numPr>
          <w:ilvl w:val="0"/>
          <w:numId w:val="0"/>
        </w:numPr>
        <w:tabs>
          <w:tab w:val="left" w:pos="637"/>
        </w:tabs>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（三）项目自评步骤及方法。</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单位制定了评估计划、确定评估标准和方法；收集数据分析评估。</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二、项目资金申报及使用情况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（一）项目资金申报及批复情况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党建经费于年初随同部门预算一同下达到本单位，我单位根据年度任务安排，在预算范围内提前向区财政部门申请资金计划，在财政资金计划批复后，单位及时按预算下达项目要求组织开展信访工作。</w:t>
      </w:r>
    </w:p>
    <w:p>
      <w:pPr>
        <w:widowControl/>
        <w:numPr>
          <w:ilvl w:val="0"/>
          <w:numId w:val="0"/>
        </w:numPr>
        <w:adjustRightInd w:val="0"/>
        <w:snapToGrid w:val="0"/>
        <w:spacing w:line="580" w:lineRule="exact"/>
        <w:ind w:left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（二）资金计划、到位及使用情况</w:t>
      </w:r>
    </w:p>
    <w:p>
      <w:pPr>
        <w:widowControl/>
        <w:numPr>
          <w:ilvl w:val="0"/>
          <w:numId w:val="0"/>
        </w:numPr>
        <w:adjustRightInd w:val="0"/>
        <w:snapToGrid w:val="0"/>
        <w:spacing w:line="580" w:lineRule="exact"/>
        <w:ind w:leftChars="200" w:firstLine="320" w:firstLineChars="1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1、资金计划。</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2019年党建专项办公经费、印刷费用、培训费、其他费用共计5万元。</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2、资金到位。单位向财政申请计划5万元，财政批复到位5万元，5万元都用于党建工作。</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3、资金使用。在财政资金计划批复后，单位及时按预算下达项目要求组织开展党建工作。信访事务在2019年度按预算下达指标全面完成预算支出任务，支出完成率达100%。</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（三）项目财务管理情况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党建作为重要活动经费，为本局信访维稳做了大量工作，管好用好党建经费也尤为重要。因此，本单位将党建专项经费纳入单位财务集中统一管理，严格按照本单位年初制度的财务管理制度要求执行，做到先有预算后有支出，提升党建经费使用的制度化、规范化、程序化要求。</w:t>
      </w:r>
    </w:p>
    <w:p>
      <w:pPr>
        <w:widowControl/>
        <w:numPr>
          <w:ilvl w:val="0"/>
          <w:numId w:val="0"/>
        </w:numPr>
        <w:adjustRightInd w:val="0"/>
        <w:snapToGrid w:val="0"/>
        <w:spacing w:line="580" w:lineRule="exact"/>
        <w:ind w:leftChars="200" w:firstLine="320" w:firstLineChars="1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三、项目实施及管理情况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（一）项目组织架构及实施流程。</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为规范和加强党建经费的管理，使党建经费的使用做到专款专用，2019年党建专项办公经费、印刷费用、邮电费、、培训费、其他费用共计5万元。</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（二）项目管理情况。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保障党建工作正常开展，项目制定了健全的党建管理制度，资金管理按照国家财经法规和我局财务管理制度执行。</w:t>
      </w:r>
    </w:p>
    <w:p>
      <w:pPr>
        <w:widowControl/>
        <w:numPr>
          <w:ilvl w:val="0"/>
          <w:numId w:val="0"/>
        </w:numPr>
        <w:adjustRightInd w:val="0"/>
        <w:snapToGrid w:val="0"/>
        <w:spacing w:line="580" w:lineRule="exact"/>
        <w:ind w:left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（三）项目监管情况。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每开支一笔党建经费都严格按照单位年初财务制度执行。</w:t>
      </w:r>
    </w:p>
    <w:p>
      <w:pPr>
        <w:widowControl/>
        <w:numPr>
          <w:ilvl w:val="0"/>
          <w:numId w:val="0"/>
        </w:numPr>
        <w:adjustRightInd w:val="0"/>
        <w:snapToGrid w:val="0"/>
        <w:spacing w:line="580" w:lineRule="exact"/>
        <w:ind w:leftChars="200" w:firstLine="320" w:firstLineChars="1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四、项目绩效情况</w:t>
      </w:r>
      <w:r>
        <w:rPr>
          <w:rFonts w:hint="eastAsia" w:asciiTheme="minorEastAsia" w:hAnsiTheme="minorEastAsia" w:eastAsiaTheme="minorEastAsia" w:cstheme="minorEastAsia"/>
          <w:color w:val="000000"/>
          <w:kern w:val="0"/>
          <w:sz w:val="32"/>
          <w:szCs w:val="32"/>
          <w:shd w:val="clear" w:color="auto" w:fill="FFFFFF"/>
          <w:lang w:val="zh-CN"/>
        </w:rPr>
        <w:tab/>
      </w:r>
    </w:p>
    <w:p>
      <w:pPr>
        <w:widowControl/>
        <w:numPr>
          <w:ilvl w:val="0"/>
          <w:numId w:val="0"/>
        </w:numPr>
        <w:adjustRightInd w:val="0"/>
        <w:snapToGrid w:val="0"/>
        <w:spacing w:line="580" w:lineRule="exact"/>
        <w:ind w:leftChars="200" w:firstLine="320" w:firstLineChars="1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（一）项目完成情况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en-US" w:eastAsia="zh-CN"/>
        </w:rPr>
        <w:t>2</w:t>
      </w:r>
      <w:r>
        <w:rPr>
          <w:rFonts w:hint="eastAsia" w:asciiTheme="minorEastAsia" w:hAnsiTheme="minorEastAsia" w:eastAsiaTheme="minorEastAsia" w:cstheme="minorEastAsia"/>
          <w:color w:val="000000"/>
          <w:kern w:val="0"/>
          <w:sz w:val="32"/>
          <w:szCs w:val="32"/>
          <w:shd w:val="clear" w:color="auto" w:fill="FFFFFF"/>
          <w:lang w:val="zh-CN"/>
        </w:rPr>
        <w:t>019年度党建专项经费预算5万元，完成率100%，专项办公经费、信访条例及法律法规宣传刷费用、培训费、其他费用共计5万元。保障全局各项党建工作有序开展，发展党员，慰问困难党员，促进党群干部更融洽。</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（二）项目效益情况</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保障全区各项工作有序开展：提高党员的政治素质，发展新党员，关心慰问困难党员生活情况，促进党群关心融洽，提高群众的满意度。</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五、评价结论及建议</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（一）评价结论</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2019年党建专项经费按年初项目预算规划并接合全年信访工作任务有条不紊进行开展，全年党建专项经费按预算和工作规划全部实施。</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（二）存在的问题</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根据本次绩效评价情况，存在预算绩效申报时，对党建项目编制不够明细和精准，绩效目标未完全细化分解为具体工作任务，部分绩效指标不清晰。</w:t>
      </w:r>
    </w:p>
    <w:p>
      <w:pPr>
        <w:widowControl/>
        <w:numPr>
          <w:ilvl w:val="0"/>
          <w:numId w:val="0"/>
        </w:numPr>
        <w:adjustRightInd w:val="0"/>
        <w:snapToGrid w:val="0"/>
        <w:spacing w:line="580" w:lineRule="exact"/>
        <w:ind w:firstLine="320" w:firstLineChars="1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（三）相关建议</w:t>
      </w:r>
    </w:p>
    <w:p>
      <w:pPr>
        <w:widowControl/>
        <w:numPr>
          <w:ilvl w:val="0"/>
          <w:numId w:val="0"/>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针对上述问题，单位在今后的预算绩效申报时，在财务部门的配合下，将全年工作任务细化分解为具体的工作目标，并尽量采取定量的方式制定清晰效指标。</w:t>
      </w:r>
    </w:p>
    <w:p>
      <w:pPr>
        <w:widowControl/>
        <w:numPr>
          <w:ilvl w:val="0"/>
          <w:numId w:val="0"/>
        </w:numPr>
        <w:adjustRightInd w:val="0"/>
        <w:snapToGrid w:val="0"/>
        <w:spacing w:line="580" w:lineRule="exact"/>
        <w:ind w:left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p>
    <w:p>
      <w:pPr>
        <w:spacing w:line="580" w:lineRule="exact"/>
        <w:ind w:firstLine="640" w:firstLineChars="200"/>
        <w:rPr>
          <w:rFonts w:hint="eastAsia" w:asciiTheme="minorEastAsia" w:hAnsiTheme="minorEastAsia" w:eastAsiaTheme="minorEastAsia" w:cstheme="minorEastAsia"/>
          <w:sz w:val="32"/>
          <w:szCs w:val="32"/>
        </w:rPr>
      </w:pPr>
    </w:p>
    <w:p>
      <w:pPr>
        <w:tabs>
          <w:tab w:val="left" w:pos="538"/>
        </w:tabs>
        <w:spacing w:line="58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ab/>
      </w: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inorEastAsia" w:hAnsiTheme="minorEastAsia" w:eastAsiaTheme="minorEastAsia" w:cstheme="minorEastAsia"/>
          <w:b/>
          <w:bCs/>
          <w:sz w:val="52"/>
          <w:szCs w:val="52"/>
        </w:rPr>
      </w:pPr>
    </w:p>
    <w:p>
      <w:pPr>
        <w:tabs>
          <w:tab w:val="left" w:pos="538"/>
        </w:tabs>
        <w:spacing w:line="580" w:lineRule="exact"/>
        <w:ind w:left="1560" w:hanging="1566" w:hangingChars="300"/>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达州市达川区信访局信访事务项目支出绩效自评报告</w:t>
      </w:r>
    </w:p>
    <w:p>
      <w:pPr>
        <w:spacing w:line="580" w:lineRule="exact"/>
        <w:ind w:firstLine="643" w:firstLineChars="200"/>
        <w:rPr>
          <w:rFonts w:hint="eastAsia" w:asciiTheme="minorEastAsia" w:hAnsiTheme="minorEastAsia" w:eastAsiaTheme="minorEastAsia" w:cstheme="minorEastAsia"/>
          <w:b/>
          <w:bCs/>
          <w:sz w:val="32"/>
          <w:szCs w:val="32"/>
        </w:rPr>
      </w:pP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一、项目概况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（一）项目基本情况。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1、信访事务是信访局开展信访、维稳工作所需的专项经费，保障达川区信访工作正常运转的项目工作经费。</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2、信访事务专项经费是区财政核拨的信访事务工作经费，2019年预算下达到本单位的信访事务专项活动经费</w:t>
      </w:r>
      <w:r>
        <w:rPr>
          <w:rFonts w:hint="eastAsia" w:asciiTheme="minorEastAsia" w:hAnsiTheme="minorEastAsia" w:eastAsiaTheme="minorEastAsia" w:cstheme="minorEastAsia"/>
          <w:sz w:val="32"/>
          <w:szCs w:val="32"/>
          <w:lang w:val="en-US" w:eastAsia="zh-CN"/>
        </w:rPr>
        <w:t>76.50</w:t>
      </w:r>
      <w:r>
        <w:rPr>
          <w:rFonts w:hint="eastAsia" w:asciiTheme="minorEastAsia" w:hAnsiTheme="minorEastAsia" w:eastAsiaTheme="minorEastAsia" w:cstheme="minorEastAsia"/>
          <w:sz w:val="32"/>
          <w:szCs w:val="32"/>
        </w:rPr>
        <w:t>万元。</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（二）项目绩效目标。</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信访事务经费主要用于：信访专项办公经费，弥补公用经费的不足；信访条例及法律法规知识的宣传画册和宣传单的印刷；信访信件的邮递费开支；到京到省的信访维稳差旅费开支；信访联席会议和工作会会议的召开；信访业务知识的培训；处理信访突发事件交通费用开支；处理突发信访事件其他开支；以及信访工作其他开支。</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2、项目用于信访专项办公经费、信访条例及法律法规宣传印刷费用、差旅费、会议费、培训费、其他费用共计</w:t>
      </w:r>
      <w:r>
        <w:rPr>
          <w:rFonts w:hint="eastAsia" w:asciiTheme="minorEastAsia" w:hAnsiTheme="minorEastAsia" w:eastAsiaTheme="minorEastAsia" w:cstheme="minorEastAsia"/>
          <w:sz w:val="32"/>
          <w:szCs w:val="32"/>
          <w:lang w:val="en-US" w:eastAsia="zh-CN"/>
        </w:rPr>
        <w:t>62.60</w:t>
      </w:r>
      <w:r>
        <w:rPr>
          <w:rFonts w:hint="eastAsia" w:asciiTheme="minorEastAsia" w:hAnsiTheme="minorEastAsia" w:eastAsiaTheme="minorEastAsia" w:cstheme="minorEastAsia"/>
          <w:sz w:val="32"/>
          <w:szCs w:val="32"/>
        </w:rPr>
        <w:t>万元。本年度信访事务经费按计划部分实施到位，完成率</w:t>
      </w:r>
      <w:r>
        <w:rPr>
          <w:rFonts w:hint="eastAsia" w:asciiTheme="minorEastAsia" w:hAnsiTheme="minorEastAsia" w:eastAsiaTheme="minorEastAsia" w:cstheme="minorEastAsia"/>
          <w:sz w:val="32"/>
          <w:szCs w:val="32"/>
          <w:lang w:val="en-US" w:eastAsia="zh-CN"/>
        </w:rPr>
        <w:t>81.69</w:t>
      </w:r>
      <w:r>
        <w:rPr>
          <w:rFonts w:hint="eastAsia" w:asciiTheme="minorEastAsia" w:hAnsiTheme="minorEastAsia" w:eastAsiaTheme="minorEastAsia" w:cstheme="minorEastAsia"/>
          <w:sz w:val="32"/>
          <w:szCs w:val="32"/>
        </w:rPr>
        <w:t>%。</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3、分析评价申报内容与实际相符，申报目标合理可行。</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（三）项目自评步骤及方法。</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单位制定了评估计划、确定评估标准和方法；收集数据分析评估。</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二、项目资金申报及使用情况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（一）项目资金申报及批复情况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信访事务于年初随同部门预算一同下达到本单位，我单位根据年度信访事务任务安排，在预算范围内提前向区财政部门申请资金计划，在财政资金计划批复后，单位及时按预算下达项目要求组织开展信访工作。</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（二）资金计划、到位及使用情况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1、资金计划。</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2019年信访事务专项办公经费、信访条例及法律法规宣传印刷费用、差旅费、会议费、培训费、其他费用共计70万元，由于经费不足，追加了</w:t>
      </w:r>
      <w:r>
        <w:rPr>
          <w:rFonts w:hint="eastAsia" w:asciiTheme="minorEastAsia" w:hAnsiTheme="minorEastAsia" w:eastAsiaTheme="minorEastAsia" w:cstheme="minorEastAsia"/>
          <w:sz w:val="32"/>
          <w:szCs w:val="32"/>
          <w:lang w:val="en-US" w:eastAsia="zh-CN"/>
        </w:rPr>
        <w:t>6.50</w:t>
      </w:r>
      <w:r>
        <w:rPr>
          <w:rFonts w:hint="eastAsia" w:asciiTheme="minorEastAsia" w:hAnsiTheme="minorEastAsia" w:eastAsiaTheme="minorEastAsia" w:cstheme="minorEastAsia"/>
          <w:sz w:val="32"/>
          <w:szCs w:val="32"/>
        </w:rPr>
        <w:t>万元。</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2、资金到位。单位向财政申请计划</w:t>
      </w:r>
      <w:r>
        <w:rPr>
          <w:rFonts w:hint="eastAsia" w:asciiTheme="minorEastAsia" w:hAnsiTheme="minorEastAsia" w:eastAsiaTheme="minorEastAsia" w:cstheme="minorEastAsia"/>
          <w:sz w:val="32"/>
          <w:szCs w:val="32"/>
          <w:lang w:val="en-US" w:eastAsia="zh-CN"/>
        </w:rPr>
        <w:t>76.50</w:t>
      </w:r>
      <w:r>
        <w:rPr>
          <w:rFonts w:hint="eastAsia" w:asciiTheme="minorEastAsia" w:hAnsiTheme="minorEastAsia" w:eastAsiaTheme="minorEastAsia" w:cstheme="minorEastAsia"/>
          <w:sz w:val="32"/>
          <w:szCs w:val="32"/>
        </w:rPr>
        <w:t>万元，财政批复到位</w:t>
      </w:r>
      <w:r>
        <w:rPr>
          <w:rFonts w:hint="eastAsia" w:asciiTheme="minorEastAsia" w:hAnsiTheme="minorEastAsia" w:eastAsiaTheme="minorEastAsia" w:cstheme="minorEastAsia"/>
          <w:sz w:val="32"/>
          <w:szCs w:val="32"/>
          <w:lang w:val="en-US" w:eastAsia="zh-CN"/>
        </w:rPr>
        <w:t>76.50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76.50</w:t>
      </w:r>
      <w:r>
        <w:rPr>
          <w:rFonts w:hint="eastAsia" w:asciiTheme="minorEastAsia" w:hAnsiTheme="minorEastAsia" w:eastAsiaTheme="minorEastAsia" w:cstheme="minorEastAsia"/>
          <w:sz w:val="32"/>
          <w:szCs w:val="32"/>
        </w:rPr>
        <w:t>万元都用于信访工作。</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3、资金使用。在财政资金计划批复后，单位及时按预算下达项目要求组织开展信访工作。信访事务在2019年度按预算下达指标全面完成预算支出任务，支出完成率达</w:t>
      </w:r>
      <w:r>
        <w:rPr>
          <w:rFonts w:hint="eastAsia" w:asciiTheme="minorEastAsia" w:hAnsiTheme="minorEastAsia" w:eastAsiaTheme="minorEastAsia" w:cstheme="minorEastAsia"/>
          <w:sz w:val="32"/>
          <w:szCs w:val="32"/>
          <w:lang w:val="en-US" w:eastAsia="zh-CN"/>
        </w:rPr>
        <w:t>81.69</w:t>
      </w:r>
      <w:r>
        <w:rPr>
          <w:rFonts w:hint="eastAsia" w:asciiTheme="minorEastAsia" w:hAnsiTheme="minorEastAsia" w:eastAsiaTheme="minorEastAsia" w:cstheme="minorEastAsia"/>
          <w:sz w:val="32"/>
          <w:szCs w:val="32"/>
        </w:rPr>
        <w:t>%。</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（三）项目财务管理情况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信访事务作为信访工作所必需的重要活动经费，为全区信访维稳做了大量工作，管好用好信访经费也尤为重要。因此，本单位将信访事务专项经费纳入单位财务集中统一管理，严格按照本单位年初制度的财务管理制度要求执行，做到先有预算后有支出，并结合全年信访工作工作任务及时办理相关的信访经费支出，提升信访专项经费使用的制度化、规范化、程序化要求。</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三、项目实施及管理情况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（一）项目组织架构及实施流程。</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为规范和加强信访事务经费的管理，使信访事务经费的使用做到专款专用，2019年信访事务专项办公经费、信访条例及法律法规宣传印刷费用、差旅费、会议费、培训费、其他费用共计62.49万元。</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（二）项目管理情况。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保障信访维稳工作正常开展，项目制定了健全的业务管理制度，资金管理按照国家财经法规和我局财务管理制度执行。</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（三）项目监管情况。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每开支一笔信访事务经费都严格按照单位年初财务制度，严格采购程序，严控采购标准。</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四、项目绩效情况</w:t>
      </w:r>
      <w:r>
        <w:rPr>
          <w:rFonts w:hint="eastAsia" w:asciiTheme="minorEastAsia" w:hAnsiTheme="minorEastAsia" w:eastAsiaTheme="minorEastAsia" w:cstheme="minorEastAsia"/>
          <w:sz w:val="32"/>
          <w:szCs w:val="32"/>
        </w:rPr>
        <w:tab/>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（一）项目完成情况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2019年度信访事务专项经费预算</w:t>
      </w:r>
      <w:r>
        <w:rPr>
          <w:rFonts w:hint="eastAsia" w:asciiTheme="minorEastAsia" w:hAnsiTheme="minorEastAsia" w:eastAsiaTheme="minorEastAsia" w:cstheme="minorEastAsia"/>
          <w:sz w:val="32"/>
          <w:szCs w:val="32"/>
          <w:lang w:val="en-US" w:eastAsia="zh-CN"/>
        </w:rPr>
        <w:t>76.50</w:t>
      </w:r>
      <w:r>
        <w:rPr>
          <w:rFonts w:hint="eastAsia" w:asciiTheme="minorEastAsia" w:hAnsiTheme="minorEastAsia" w:eastAsiaTheme="minorEastAsia" w:cstheme="minorEastAsia"/>
          <w:sz w:val="32"/>
          <w:szCs w:val="32"/>
        </w:rPr>
        <w:t>万元，完成率</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%，专项办公经费、信访条例及法律法规宣传印刷费用、邮电费、会议费、培训费、其他费用共计</w:t>
      </w:r>
      <w:r>
        <w:rPr>
          <w:rFonts w:hint="eastAsia" w:asciiTheme="minorEastAsia" w:hAnsiTheme="minorEastAsia" w:eastAsiaTheme="minorEastAsia" w:cstheme="minorEastAsia"/>
          <w:sz w:val="32"/>
          <w:szCs w:val="32"/>
          <w:lang w:val="en-US" w:eastAsia="zh-CN"/>
        </w:rPr>
        <w:t>62.49</w:t>
      </w:r>
      <w:r>
        <w:rPr>
          <w:rFonts w:hint="eastAsia" w:asciiTheme="minorEastAsia" w:hAnsiTheme="minorEastAsia" w:eastAsiaTheme="minorEastAsia" w:cstheme="minorEastAsia"/>
          <w:sz w:val="32"/>
          <w:szCs w:val="32"/>
        </w:rPr>
        <w:t>万元。保障全区各项工作有序开展，没有大的信访事件发生，有效降低越级访</w:t>
      </w:r>
      <w:r>
        <w:rPr>
          <w:rFonts w:hint="eastAsia" w:asciiTheme="minorEastAsia" w:hAnsiTheme="minorEastAsia" w:eastAsiaTheme="minorEastAsia" w:cstheme="minorEastAsia"/>
          <w:sz w:val="32"/>
          <w:szCs w:val="32"/>
          <w:lang w:eastAsia="zh-CN"/>
        </w:rPr>
        <w:t>、闹访</w:t>
      </w:r>
      <w:r>
        <w:rPr>
          <w:rFonts w:hint="eastAsia" w:asciiTheme="minorEastAsia" w:hAnsiTheme="minorEastAsia" w:eastAsiaTheme="minorEastAsia" w:cstheme="minorEastAsia"/>
          <w:sz w:val="32"/>
          <w:szCs w:val="32"/>
        </w:rPr>
        <w:t>。</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（二）项目效益情况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保障全区各项工作有序开展：畅通老百姓信访渠道、宣传法律法规知识、及时处置突发性的集访案件、维护全区大的活动有序开展、大的会议顺利召开、有效降低到京、到省越级访数量、全区有一个良好的信访秩序、工作秩序。</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五、评价结论及建议</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（一）评价结论</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2019年信访事务专项经费按年初项目预算规划并接合全年信访工作任务有条不紊进行开展，全年信访事务专项经费按预算和工作规划全部实施。</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（二）存在的问题</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根据本次绩效评价情况，存在预算绩效申报时，对信访事务项目编制不够明细和精准，绩效目标未完全细化分解为具体工作任务，部分绩效指标不清晰、可衡量性差。</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（三）相关建议</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针对上述问题，单位在今后的预算绩效申报时，在财务部门的配合下，将全年工作任务细化分解为具体的工作目标，并尽量采取定量的方式制定清晰、可衡量的绩效指标。</w:t>
      </w:r>
    </w:p>
    <w:p>
      <w:pPr>
        <w:spacing w:line="580" w:lineRule="exact"/>
        <w:ind w:firstLine="640" w:firstLineChars="200"/>
        <w:rPr>
          <w:rFonts w:hint="eastAsia" w:asciiTheme="minorEastAsia" w:hAnsiTheme="minorEastAsia" w:eastAsiaTheme="minorEastAsia" w:cstheme="minorEastAsia"/>
          <w:sz w:val="32"/>
          <w:szCs w:val="32"/>
        </w:rPr>
      </w:pPr>
    </w:p>
    <w:p>
      <w:pPr>
        <w:spacing w:line="580" w:lineRule="exact"/>
        <w:ind w:firstLine="640" w:firstLineChars="200"/>
        <w:rPr>
          <w:rFonts w:hint="eastAsia" w:asciiTheme="minorEastAsia" w:hAnsiTheme="minorEastAsia" w:eastAsiaTheme="minorEastAsia" w:cstheme="minorEastAsia"/>
          <w:sz w:val="32"/>
          <w:szCs w:val="32"/>
        </w:rPr>
      </w:pPr>
    </w:p>
    <w:p>
      <w:pPr>
        <w:widowControl/>
        <w:jc w:val="left"/>
        <w:rPr>
          <w:rStyle w:val="24"/>
          <w:rFonts w:hint="eastAsia" w:asciiTheme="minorEastAsia" w:hAnsiTheme="minorEastAsia" w:eastAsiaTheme="minorEastAsia" w:cstheme="minorEastAsia"/>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60"/>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Style w:val="25"/>
          <w:rFonts w:ascii="仿宋" w:hAnsi="仿宋" w:eastAsia="仿宋"/>
          <w:b w:val="0"/>
          <w:bCs w:val="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6"/>
      <w:bookmarkStart w:id="67"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B3D67"/>
    <w:multiLevelType w:val="singleLevel"/>
    <w:tmpl w:val="AE1B3D67"/>
    <w:lvl w:ilvl="0" w:tentative="0">
      <w:start w:val="1"/>
      <w:numFmt w:val="chineseCounting"/>
      <w:suff w:val="nothing"/>
      <w:lvlText w:val="%1、"/>
      <w:lvlJc w:val="left"/>
      <w:rPr>
        <w:rFonts w:hint="eastAsia"/>
      </w:rPr>
    </w:lvl>
  </w:abstractNum>
  <w:abstractNum w:abstractNumId="1">
    <w:nsid w:val="B2E4ED8F"/>
    <w:multiLevelType w:val="singleLevel"/>
    <w:tmpl w:val="B2E4ED8F"/>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D8D257D"/>
    <w:multiLevelType w:val="singleLevel"/>
    <w:tmpl w:val="FD8D257D"/>
    <w:lvl w:ilvl="0" w:tentative="0">
      <w:start w:val="1"/>
      <w:numFmt w:val="decimal"/>
      <w:lvlText w:val="%1."/>
      <w:lvlJc w:val="left"/>
      <w:pPr>
        <w:tabs>
          <w:tab w:val="left" w:pos="312"/>
        </w:tabs>
      </w:pPr>
    </w:lvl>
  </w:abstractNum>
  <w:abstractNum w:abstractNumId="5">
    <w:nsid w:val="0C6C2C61"/>
    <w:multiLevelType w:val="singleLevel"/>
    <w:tmpl w:val="0C6C2C61"/>
    <w:lvl w:ilvl="0" w:tentative="0">
      <w:start w:val="1"/>
      <w:numFmt w:val="decimal"/>
      <w:lvlText w:val="%1."/>
      <w:lvlJc w:val="left"/>
      <w:pPr>
        <w:tabs>
          <w:tab w:val="left" w:pos="312"/>
        </w:tabs>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6D1E809"/>
    <w:multiLevelType w:val="singleLevel"/>
    <w:tmpl w:val="16D1E809"/>
    <w:lvl w:ilvl="0" w:tentative="0">
      <w:start w:val="1"/>
      <w:numFmt w:val="chineseCounting"/>
      <w:suff w:val="nothing"/>
      <w:lvlText w:val="（%1）"/>
      <w:lvlJc w:val="left"/>
      <w:rPr>
        <w:rFonts w:hint="eastAsia"/>
      </w:rPr>
    </w:lvl>
  </w:abstractNum>
  <w:abstractNum w:abstractNumId="8">
    <w:nsid w:val="2D25AF9D"/>
    <w:multiLevelType w:val="singleLevel"/>
    <w:tmpl w:val="2D25AF9D"/>
    <w:lvl w:ilvl="0" w:tentative="0">
      <w:start w:val="1"/>
      <w:numFmt w:val="decimal"/>
      <w:suff w:val="nothing"/>
      <w:lvlText w:val="（%1）"/>
      <w:lvlJc w:val="left"/>
    </w:lvl>
  </w:abstractNum>
  <w:abstractNum w:abstractNumId="9">
    <w:nsid w:val="43A1AAD2"/>
    <w:multiLevelType w:val="singleLevel"/>
    <w:tmpl w:val="43A1AAD2"/>
    <w:lvl w:ilvl="0" w:tentative="0">
      <w:start w:val="2"/>
      <w:numFmt w:val="chineseCounting"/>
      <w:suff w:val="nothing"/>
      <w:lvlText w:val="（%1）"/>
      <w:lvlJc w:val="left"/>
      <w:rPr>
        <w:rFonts w:hint="eastAsia"/>
      </w:rPr>
    </w:lvl>
  </w:abstractNum>
  <w:abstractNum w:abstractNumId="10">
    <w:nsid w:val="79D0B228"/>
    <w:multiLevelType w:val="singleLevel"/>
    <w:tmpl w:val="79D0B228"/>
    <w:lvl w:ilvl="0" w:tentative="0">
      <w:start w:val="1"/>
      <w:numFmt w:val="decimal"/>
      <w:lvlText w:val="%1."/>
      <w:lvlJc w:val="left"/>
      <w:pPr>
        <w:tabs>
          <w:tab w:val="left" w:pos="312"/>
        </w:tabs>
      </w:pPr>
    </w:lvl>
  </w:abstractNum>
  <w:num w:numId="1">
    <w:abstractNumId w:val="0"/>
  </w:num>
  <w:num w:numId="2">
    <w:abstractNumId w:val="7"/>
  </w:num>
  <w:num w:numId="3">
    <w:abstractNumId w:val="6"/>
  </w:num>
  <w:num w:numId="4">
    <w:abstractNumId w:val="10"/>
  </w:num>
  <w:num w:numId="5">
    <w:abstractNumId w:val="4"/>
  </w:num>
  <w:num w:numId="6">
    <w:abstractNumId w:val="2"/>
  </w:num>
  <w:num w:numId="7">
    <w:abstractNumId w:val="5"/>
  </w:num>
  <w:num w:numId="8">
    <w:abstractNumId w:val="8"/>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C6"/>
    <w:rsid w:val="00023449"/>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8565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445E2"/>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5530"/>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77C"/>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0BDD"/>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1F4F"/>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FA3431"/>
    <w:rsid w:val="06A1317F"/>
    <w:rsid w:val="08526B04"/>
    <w:rsid w:val="0A560873"/>
    <w:rsid w:val="0F1D6A6F"/>
    <w:rsid w:val="10C055FF"/>
    <w:rsid w:val="14AD3267"/>
    <w:rsid w:val="16BB723D"/>
    <w:rsid w:val="1FF42CB5"/>
    <w:rsid w:val="21AE239B"/>
    <w:rsid w:val="225F75A0"/>
    <w:rsid w:val="240371BF"/>
    <w:rsid w:val="256A7686"/>
    <w:rsid w:val="29FD04D3"/>
    <w:rsid w:val="2B4060B3"/>
    <w:rsid w:val="319F7F4E"/>
    <w:rsid w:val="358049EE"/>
    <w:rsid w:val="381D1C11"/>
    <w:rsid w:val="3AD06A68"/>
    <w:rsid w:val="49AB53D0"/>
    <w:rsid w:val="4EAE656E"/>
    <w:rsid w:val="4ECE2238"/>
    <w:rsid w:val="4EF53BA0"/>
    <w:rsid w:val="54C24BE6"/>
    <w:rsid w:val="5B8210F4"/>
    <w:rsid w:val="5EB768E6"/>
    <w:rsid w:val="5FF9089B"/>
    <w:rsid w:val="65916945"/>
    <w:rsid w:val="659B37E4"/>
    <w:rsid w:val="67960294"/>
    <w:rsid w:val="6A986FCF"/>
    <w:rsid w:val="6BD5109C"/>
    <w:rsid w:val="70043A99"/>
    <w:rsid w:val="72734D90"/>
    <w:rsid w:val="72935298"/>
    <w:rsid w:val="74A739FC"/>
    <w:rsid w:val="7795616C"/>
    <w:rsid w:val="786120EF"/>
    <w:rsid w:val="791C3E0B"/>
    <w:rsid w:val="7C365A4C"/>
    <w:rsid w:val="7C906E1D"/>
    <w:rsid w:val="7E3D5F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My%20Documents\2019&#2418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一般公共预算财政拨款支出结构图</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[2019年决算公开图表.xlsx]Sheet6!$A$1:$D$1</c:f>
              <c:strCache>
                <c:ptCount val="4"/>
                <c:pt idx="0">
                  <c:v>一般公共服务（类）支出</c:v>
                </c:pt>
                <c:pt idx="1">
                  <c:v>社会保障和就业（类）支出</c:v>
                </c:pt>
                <c:pt idx="2">
                  <c:v>卫生健康（类）支出</c:v>
                </c:pt>
                <c:pt idx="3">
                  <c:v>住房保障（类）支出</c:v>
                </c:pt>
              </c:strCache>
            </c:strRef>
          </c:cat>
          <c:val>
            <c:numRef>
              <c:f>[2019年决算公开图表.xlsx]Sheet6!$A$2:$D$2</c:f>
              <c:numCache>
                <c:formatCode>0.00%</c:formatCode>
                <c:ptCount val="4"/>
                <c:pt idx="0">
                  <c:v>0.8742</c:v>
                </c:pt>
                <c:pt idx="1">
                  <c:v>0.0575</c:v>
                </c:pt>
                <c:pt idx="2">
                  <c:v>0.0357</c:v>
                </c:pt>
                <c:pt idx="3">
                  <c:v>0.0326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1275</Words>
  <Characters>7271</Characters>
  <Lines>60</Lines>
  <Paragraphs>17</Paragraphs>
  <TotalTime>60</TotalTime>
  <ScaleCrop>false</ScaleCrop>
  <LinksUpToDate>false</LinksUpToDate>
  <CharactersWithSpaces>8529</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2020-08-26T06:15:00Z</dcterms:created>
  <dc:creator>曹颖</dc:creator>
  <cp:lastModifiedBy>Administrator</cp:lastModifiedBy>
  <cp:lastPrinted>2020-07-23T02:58:00Z</cp:lastPrinted>
  <dcterms:modified xsi:type="dcterms:W3CDTF">2021-12-08T07:19:40Z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8BD6EDF953894036896825EFC4F582F0</vt:lpwstr>
  </property>
</Properties>
</file>