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eastAsia="方正小标宋简体"/>
          <w:color w:val="000000"/>
          <w:sz w:val="72"/>
          <w:szCs w:val="72"/>
        </w:rPr>
      </w:pPr>
      <w:bookmarkStart w:id="0" w:name="_Toc15306267"/>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adjustRightInd w:val="0"/>
        <w:snapToGrid w:val="0"/>
        <w:spacing w:line="360" w:lineRule="auto"/>
        <w:jc w:val="center"/>
        <w:outlineLvl w:val="0"/>
        <w:rPr>
          <w:rFonts w:ascii="方正小标宋简体" w:eastAsia="方正小标宋简体"/>
          <w:color w:val="000000"/>
          <w:sz w:val="72"/>
          <w:szCs w:val="72"/>
        </w:rPr>
      </w:pPr>
      <w:bookmarkStart w:id="76" w:name="_GoBack"/>
      <w:bookmarkStart w:id="1" w:name="_Toc15396475"/>
      <w:bookmarkStart w:id="2" w:name="_Toc15378441"/>
      <w:bookmarkStart w:id="3" w:name="_Toc15377425"/>
      <w:bookmarkStart w:id="4" w:name="_Toc15377193"/>
      <w:bookmarkStart w:id="5" w:name="_Toc15396597"/>
      <w:r>
        <w:rPr>
          <w:rFonts w:ascii="黑体" w:eastAsia="黑体"/>
          <w:color w:val="000000"/>
          <w:sz w:val="72"/>
          <w:szCs w:val="72"/>
        </w:rPr>
        <w:t>201</w:t>
      </w:r>
      <w:r>
        <w:rPr>
          <w:rFonts w:hint="eastAsia" w:ascii="黑体" w:eastAsia="黑体"/>
          <w:color w:val="000000"/>
          <w:sz w:val="72"/>
          <w:szCs w:val="72"/>
        </w:rPr>
        <w:t>8</w:t>
      </w:r>
      <w:r>
        <w:rPr>
          <w:rFonts w:hint="eastAsia" w:ascii="方正小标宋简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eastAsia="方正小标宋简体"/>
          <w:color w:val="000000"/>
          <w:sz w:val="72"/>
          <w:szCs w:val="72"/>
        </w:rPr>
      </w:pPr>
      <w:bookmarkStart w:id="6" w:name="_Toc15377426"/>
      <w:bookmarkStart w:id="7" w:name="_Toc15396598"/>
      <w:bookmarkStart w:id="8" w:name="_Toc15396476"/>
      <w:bookmarkStart w:id="9" w:name="_Toc15378442"/>
      <w:bookmarkStart w:id="10" w:name="_Toc15377194"/>
      <w:r>
        <w:rPr>
          <w:rFonts w:hint="eastAsia" w:ascii="方正小标宋简体" w:eastAsia="方正小标宋简体"/>
          <w:color w:val="000000"/>
          <w:sz w:val="72"/>
          <w:szCs w:val="72"/>
        </w:rPr>
        <w:t>四川省</w:t>
      </w:r>
      <w:bookmarkEnd w:id="0"/>
      <w:bookmarkStart w:id="11" w:name="_Toc15306268"/>
      <w:r>
        <w:rPr>
          <w:rFonts w:hint="eastAsia" w:ascii="方正小标宋简体" w:eastAsia="方正小标宋简体"/>
          <w:color w:val="000000"/>
          <w:sz w:val="72"/>
          <w:szCs w:val="72"/>
        </w:rPr>
        <w:t>达州市达川区桥湾镇部门决算</w:t>
      </w:r>
      <w:bookmarkEnd w:id="6"/>
      <w:bookmarkEnd w:id="7"/>
      <w:bookmarkEnd w:id="8"/>
      <w:bookmarkEnd w:id="9"/>
      <w:bookmarkEnd w:id="10"/>
      <w:bookmarkEnd w:id="11"/>
    </w:p>
    <w:bookmarkEnd w:id="76"/>
    <w:p>
      <w:pPr>
        <w:adjustRightInd w:val="0"/>
        <w:snapToGrid w:val="0"/>
        <w:spacing w:line="360" w:lineRule="auto"/>
        <w:jc w:val="center"/>
        <w:outlineLvl w:val="0"/>
        <w:rPr>
          <w:rFonts w:ascii="方正小标宋简体" w:eastAsia="方正小标宋简体"/>
          <w:color w:val="000000"/>
          <w:sz w:val="52"/>
          <w:szCs w:val="52"/>
        </w:rPr>
      </w:pPr>
      <w:r>
        <w:rPr>
          <w:rFonts w:hint="eastAsia" w:ascii="方正小标宋简体" w:eastAsia="方正小标宋简体"/>
          <w:color w:val="000000"/>
          <w:sz w:val="52"/>
          <w:szCs w:val="52"/>
        </w:rPr>
        <w:t>(范本)</w:t>
      </w:r>
    </w:p>
    <w:p>
      <w:pPr>
        <w:widowControl/>
        <w:jc w:val="center"/>
        <w:rPr>
          <w:rFonts w:ascii="黑体" w:eastAsia="黑体"/>
          <w:color w:val="000000"/>
          <w:sz w:val="48"/>
          <w:szCs w:val="48"/>
        </w:rPr>
      </w:pPr>
      <w:r>
        <w:rPr>
          <w:rFonts w:ascii="方正小标宋简体" w:eastAsia="方正小标宋简体"/>
          <w:color w:val="000000"/>
          <w:sz w:val="36"/>
          <w:szCs w:val="36"/>
        </w:rPr>
        <w:br w:type="page"/>
      </w:r>
      <w:r>
        <w:rPr>
          <w:rFonts w:hint="eastAsia" w:ascii="黑体" w:eastAsia="黑体"/>
          <w:color w:val="000000"/>
          <w:sz w:val="48"/>
          <w:szCs w:val="48"/>
        </w:rPr>
        <w:t>目录</w:t>
      </w:r>
    </w:p>
    <w:p>
      <w:pPr>
        <w:widowControl/>
        <w:jc w:val="center"/>
        <w:rPr>
          <w:rFonts w:ascii="黑体" w:eastAsia="黑体" w:cs="Arial"/>
          <w:sz w:val="28"/>
          <w:szCs w:val="28"/>
        </w:rPr>
      </w:pPr>
      <w:r>
        <w:rPr>
          <w:rFonts w:ascii="黑体" w:eastAsia="黑体"/>
          <w:color w:val="000000"/>
          <w:sz w:val="48"/>
          <w:szCs w:val="48"/>
        </w:rPr>
        <w:fldChar w:fldCharType="begin"/>
      </w:r>
      <w:r>
        <w:rPr>
          <w:rFonts w:ascii="黑体" w:eastAsia="黑体"/>
          <w:color w:val="000000"/>
          <w:sz w:val="48"/>
          <w:szCs w:val="48"/>
        </w:rPr>
        <w:instrText xml:space="preserve"> TOC \o "1-2" \h \z \u </w:instrText>
      </w:r>
      <w:r>
        <w:rPr>
          <w:rFonts w:ascii="黑体" w:eastAsia="黑体"/>
          <w:color w:val="000000"/>
          <w:sz w:val="48"/>
          <w:szCs w:val="48"/>
        </w:rPr>
        <w:fldChar w:fldCharType="separate"/>
      </w:r>
    </w:p>
    <w:p>
      <w:pPr>
        <w:pStyle w:val="10"/>
      </w:pPr>
      <w:r>
        <w:rPr>
          <w:rFonts w:hint="eastAsia"/>
        </w:rPr>
        <w:t>公开时间：2019年9月16日</w:t>
      </w:r>
    </w:p>
    <w:p/>
    <w:p>
      <w:pPr>
        <w:pStyle w:val="10"/>
        <w:rPr>
          <w:rFonts w:cs="Arial"/>
        </w:rPr>
      </w:pPr>
      <w:r>
        <w:fldChar w:fldCharType="begin"/>
      </w:r>
      <w:r>
        <w:instrText xml:space="preserve"> HYPERLINK \l "_Toc15396599" </w:instrText>
      </w:r>
      <w:r>
        <w:fldChar w:fldCharType="separate"/>
      </w:r>
      <w:r>
        <w:rPr>
          <w:rFonts w:hint="eastAsia"/>
        </w:rPr>
        <w:t>第一部分部门概况</w:t>
      </w:r>
      <w:r>
        <w:tab/>
      </w:r>
      <w:r>
        <w:rPr>
          <w:rFonts w:hint="eastAsia"/>
        </w:rPr>
        <w:t>4</w:t>
      </w:r>
      <w:r>
        <w:rPr>
          <w:rFonts w:hint="eastAsia"/>
        </w:rPr>
        <w:fldChar w:fldCharType="end"/>
      </w:r>
    </w:p>
    <w:p>
      <w:pPr>
        <w:pStyle w:val="11"/>
        <w:rPr>
          <w:rFonts w:ascii="仿宋" w:eastAsia="仿宋" w:cs="Arial"/>
          <w:sz w:val="28"/>
          <w:szCs w:val="28"/>
        </w:rPr>
      </w:pPr>
      <w:r>
        <w:fldChar w:fldCharType="begin"/>
      </w:r>
      <w:r>
        <w:instrText xml:space="preserve"> HYPERLINK \l "_Toc15396600" </w:instrText>
      </w:r>
      <w:r>
        <w:fldChar w:fldCharType="separate"/>
      </w:r>
      <w:r>
        <w:rPr>
          <w:rFonts w:hint="eastAsia" w:ascii="仿宋" w:eastAsia="仿宋"/>
          <w:sz w:val="28"/>
          <w:szCs w:val="28"/>
        </w:rPr>
        <w:t>一、基本职能及主要工作</w:t>
      </w:r>
      <w:r>
        <w:rPr>
          <w:rFonts w:ascii="仿宋" w:eastAsia="仿宋"/>
          <w:sz w:val="28"/>
          <w:szCs w:val="28"/>
        </w:rPr>
        <w:tab/>
      </w:r>
      <w:r>
        <w:rPr>
          <w:rFonts w:hint="eastAsia" w:ascii="仿宋" w:eastAsia="仿宋"/>
          <w:sz w:val="28"/>
          <w:szCs w:val="28"/>
        </w:rPr>
        <w:t>4</w:t>
      </w:r>
      <w:r>
        <w:rPr>
          <w:rFonts w:hint="eastAsia"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"_Toc15396601" </w:instrText>
      </w:r>
      <w:r>
        <w:fldChar w:fldCharType="separate"/>
      </w:r>
      <w:r>
        <w:rPr>
          <w:rFonts w:hint="eastAsia" w:ascii="仿宋" w:eastAsia="仿宋"/>
          <w:sz w:val="28"/>
          <w:szCs w:val="28"/>
        </w:rPr>
        <w:t>二、机构设置</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_Toc15396601 \h </w:instrText>
      </w:r>
      <w:r>
        <w:rPr>
          <w:rFonts w:ascii="仿宋" w:eastAsia="仿宋"/>
          <w:sz w:val="28"/>
          <w:szCs w:val="28"/>
        </w:rPr>
        <w:fldChar w:fldCharType="separate"/>
      </w:r>
      <w:r>
        <w:rPr>
          <w:rFonts w:ascii="仿宋" w:eastAsia="仿宋"/>
          <w:sz w:val="28"/>
          <w:szCs w:val="28"/>
        </w:rPr>
        <w:t>4</w:t>
      </w:r>
      <w:r>
        <w:rPr>
          <w:rFonts w:ascii="仿宋" w:eastAsia="仿宋"/>
          <w:sz w:val="28"/>
          <w:szCs w:val="28"/>
        </w:rPr>
        <w:fldChar w:fldCharType="end"/>
      </w:r>
      <w:r>
        <w:rPr>
          <w:rFonts w:ascii="仿宋" w:eastAsia="仿宋"/>
          <w:sz w:val="28"/>
          <w:szCs w:val="28"/>
        </w:rPr>
        <w:fldChar w:fldCharType="end"/>
      </w:r>
    </w:p>
    <w:p>
      <w:pPr>
        <w:pStyle w:val="10"/>
      </w:pPr>
      <w:r>
        <w:fldChar w:fldCharType="begin"/>
      </w:r>
      <w:r>
        <w:instrText xml:space="preserve"> HYPERLINK \l "_Toc15396602" </w:instrText>
      </w:r>
      <w:r>
        <w:fldChar w:fldCharType="separate"/>
      </w:r>
      <w:r>
        <w:rPr>
          <w:rFonts w:hint="eastAsia"/>
        </w:rPr>
        <w:t>第二部分</w:t>
      </w:r>
      <w:r>
        <w:t xml:space="preserve"> 2018</w:t>
      </w:r>
      <w:r>
        <w:rPr>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eastAsia="仿宋" w:cs="Arial"/>
          <w:sz w:val="28"/>
          <w:szCs w:val="28"/>
        </w:rPr>
      </w:pPr>
      <w:r>
        <w:fldChar w:fldCharType="begin"/>
      </w:r>
      <w:r>
        <w:instrText xml:space="preserve"> HYPERLINK \l "_Toc15396603" </w:instrText>
      </w:r>
      <w:r>
        <w:fldChar w:fldCharType="separate"/>
      </w:r>
      <w:r>
        <w:rPr>
          <w:rFonts w:hint="eastAsia" w:ascii="仿宋" w:eastAsia="仿宋" w:cs="Times New Roman"/>
          <w:bCs/>
          <w:sz w:val="28"/>
          <w:szCs w:val="28"/>
        </w:rPr>
        <w:t>一、</w:t>
      </w:r>
      <w:r>
        <w:rPr>
          <w:rFonts w:hint="eastAsia" w:ascii="仿宋" w:eastAsia="仿宋"/>
          <w:sz w:val="28"/>
          <w:szCs w:val="28"/>
        </w:rPr>
        <w:t>收</w:t>
      </w:r>
      <w:r>
        <w:rPr>
          <w:rFonts w:hint="eastAsia" w:ascii="仿宋" w:eastAsia="仿宋" w:cs="Times New Roman"/>
          <w:bCs/>
          <w:sz w:val="28"/>
          <w:szCs w:val="28"/>
        </w:rPr>
        <w:t>入支出决算总体情况说明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_Toc15396603 \h </w:instrText>
      </w:r>
      <w:r>
        <w:rPr>
          <w:rFonts w:ascii="仿宋" w:eastAsia="仿宋"/>
          <w:sz w:val="28"/>
          <w:szCs w:val="28"/>
        </w:rPr>
        <w:fldChar w:fldCharType="separate"/>
      </w:r>
      <w:r>
        <w:rPr>
          <w:rFonts w:ascii="仿宋" w:eastAsia="仿宋"/>
          <w:sz w:val="28"/>
          <w:szCs w:val="28"/>
        </w:rPr>
        <w:t>5</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"_Toc15396604" </w:instrText>
      </w:r>
      <w:r>
        <w:fldChar w:fldCharType="separate"/>
      </w:r>
      <w:r>
        <w:rPr>
          <w:rFonts w:hint="eastAsia" w:ascii="仿宋" w:eastAsia="仿宋" w:cs="Times New Roman"/>
          <w:bCs/>
          <w:sz w:val="28"/>
          <w:szCs w:val="28"/>
        </w:rPr>
        <w:t>二、</w:t>
      </w:r>
      <w:r>
        <w:rPr>
          <w:rFonts w:hint="eastAsia" w:ascii="仿宋" w:eastAsia="仿宋"/>
          <w:sz w:val="28"/>
          <w:szCs w:val="28"/>
        </w:rPr>
        <w:t>收</w:t>
      </w:r>
      <w:r>
        <w:rPr>
          <w:rFonts w:hint="eastAsia" w:ascii="仿宋" w:eastAsia="仿宋" w:cs="Times New Roman"/>
          <w:bCs/>
          <w:sz w:val="28"/>
          <w:szCs w:val="28"/>
        </w:rPr>
        <w:t>入决算情况说明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_Toc15396604 \h </w:instrText>
      </w:r>
      <w:r>
        <w:rPr>
          <w:rFonts w:ascii="仿宋" w:eastAsia="仿宋"/>
          <w:sz w:val="28"/>
          <w:szCs w:val="28"/>
        </w:rPr>
        <w:fldChar w:fldCharType="separate"/>
      </w:r>
      <w:r>
        <w:rPr>
          <w:rFonts w:ascii="仿宋" w:eastAsia="仿宋"/>
          <w:sz w:val="28"/>
          <w:szCs w:val="28"/>
        </w:rPr>
        <w:t>5</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"_Toc15396605" </w:instrText>
      </w:r>
      <w:r>
        <w:fldChar w:fldCharType="separate"/>
      </w:r>
      <w:r>
        <w:rPr>
          <w:rFonts w:hint="eastAsia" w:ascii="仿宋" w:eastAsia="仿宋" w:cs="Times New Roman"/>
          <w:bCs/>
          <w:sz w:val="28"/>
          <w:szCs w:val="28"/>
        </w:rPr>
        <w:t>三、</w:t>
      </w:r>
      <w:r>
        <w:rPr>
          <w:rFonts w:hint="eastAsia" w:ascii="仿宋" w:eastAsia="仿宋"/>
          <w:sz w:val="28"/>
          <w:szCs w:val="28"/>
        </w:rPr>
        <w:t>支</w:t>
      </w:r>
      <w:r>
        <w:rPr>
          <w:rFonts w:hint="eastAsia" w:ascii="仿宋" w:eastAsia="仿宋" w:cs="Times New Roman"/>
          <w:bCs/>
          <w:sz w:val="28"/>
          <w:szCs w:val="28"/>
        </w:rPr>
        <w:t>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_Toc15396605 \h </w:instrText>
      </w:r>
      <w:r>
        <w:rPr>
          <w:rFonts w:ascii="仿宋" w:eastAsia="仿宋"/>
          <w:sz w:val="28"/>
          <w:szCs w:val="28"/>
        </w:rPr>
        <w:fldChar w:fldCharType="separate"/>
      </w:r>
      <w:r>
        <w:rPr>
          <w:rFonts w:ascii="仿宋" w:eastAsia="仿宋"/>
          <w:sz w:val="28"/>
          <w:szCs w:val="28"/>
        </w:rPr>
        <w:t>5</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"_Toc15396606" </w:instrText>
      </w:r>
      <w:r>
        <w:fldChar w:fldCharType="separate"/>
      </w:r>
      <w:r>
        <w:rPr>
          <w:rFonts w:hint="eastAsia" w:ascii="仿宋" w:eastAsia="仿宋"/>
          <w:sz w:val="28"/>
          <w:szCs w:val="28"/>
        </w:rPr>
        <w:t>四、财</w:t>
      </w:r>
      <w:r>
        <w:rPr>
          <w:rFonts w:hint="eastAsia" w:ascii="仿宋" w:eastAsia="仿宋" w:cs="Times New Roman"/>
          <w:bCs/>
          <w:sz w:val="28"/>
          <w:szCs w:val="28"/>
        </w:rPr>
        <w:t>政拨款收入支出决算总体情况说明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_Toc15396606 \h </w:instrText>
      </w:r>
      <w:r>
        <w:rPr>
          <w:rFonts w:ascii="仿宋" w:eastAsia="仿宋"/>
          <w:sz w:val="28"/>
          <w:szCs w:val="28"/>
        </w:rPr>
        <w:fldChar w:fldCharType="separate"/>
      </w:r>
      <w:r>
        <w:rPr>
          <w:rFonts w:ascii="仿宋" w:eastAsia="仿宋"/>
          <w:sz w:val="28"/>
          <w:szCs w:val="28"/>
        </w:rPr>
        <w:t>6</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"_Toc15396607" </w:instrText>
      </w:r>
      <w:r>
        <w:fldChar w:fldCharType="separate"/>
      </w:r>
      <w:r>
        <w:rPr>
          <w:rFonts w:hint="eastAsia" w:ascii="仿宋" w:eastAsia="仿宋"/>
          <w:sz w:val="28"/>
          <w:szCs w:val="28"/>
        </w:rPr>
        <w:t>五、一</w:t>
      </w:r>
      <w:r>
        <w:rPr>
          <w:rFonts w:hint="eastAsia" w:ascii="仿宋" w:eastAsia="仿宋" w:cs="Times New Roman"/>
          <w:bCs/>
          <w:sz w:val="28"/>
          <w:szCs w:val="28"/>
        </w:rPr>
        <w:t>般公共预算财政拨款支出决算情况说明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_Toc15396607 \h </w:instrText>
      </w:r>
      <w:r>
        <w:rPr>
          <w:rFonts w:ascii="仿宋" w:eastAsia="仿宋"/>
          <w:sz w:val="28"/>
          <w:szCs w:val="28"/>
        </w:rPr>
        <w:fldChar w:fldCharType="separate"/>
      </w:r>
      <w:r>
        <w:rPr>
          <w:rFonts w:ascii="仿宋" w:eastAsia="仿宋"/>
          <w:sz w:val="28"/>
          <w:szCs w:val="28"/>
        </w:rPr>
        <w:t>6</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"_Toc15396608" </w:instrText>
      </w:r>
      <w:r>
        <w:fldChar w:fldCharType="separate"/>
      </w:r>
      <w:r>
        <w:rPr>
          <w:rFonts w:hint="eastAsia" w:ascii="仿宋" w:eastAsia="仿宋"/>
          <w:sz w:val="28"/>
          <w:szCs w:val="28"/>
        </w:rPr>
        <w:t>六、一</w:t>
      </w:r>
      <w:r>
        <w:rPr>
          <w:rFonts w:hint="eastAsia" w:ascii="仿宋" w:eastAsia="仿宋" w:cs="Times New Roman"/>
          <w:bCs/>
          <w:sz w:val="28"/>
          <w:szCs w:val="28"/>
        </w:rPr>
        <w:t>般公共预算财政拨款基本支出决算情况说明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_Toc15396608 \h </w:instrText>
      </w:r>
      <w:r>
        <w:rPr>
          <w:rFonts w:ascii="仿宋" w:eastAsia="仿宋"/>
          <w:sz w:val="28"/>
          <w:szCs w:val="28"/>
        </w:rPr>
        <w:fldChar w:fldCharType="separate"/>
      </w:r>
      <w:r>
        <w:rPr>
          <w:rFonts w:ascii="仿宋" w:eastAsia="仿宋"/>
          <w:sz w:val="28"/>
          <w:szCs w:val="28"/>
        </w:rPr>
        <w:t>8</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"_Toc15396609" </w:instrText>
      </w:r>
      <w:r>
        <w:fldChar w:fldCharType="separate"/>
      </w:r>
      <w:r>
        <w:rPr>
          <w:rFonts w:hint="eastAsia" w:ascii="仿宋" w:eastAsia="仿宋"/>
          <w:sz w:val="28"/>
          <w:szCs w:val="28"/>
        </w:rPr>
        <w:t>七、</w:t>
      </w:r>
      <w:r>
        <w:rPr>
          <w:rFonts w:ascii="仿宋" w:eastAsia="仿宋"/>
          <w:sz w:val="28"/>
          <w:szCs w:val="28"/>
        </w:rPr>
        <w:t>“</w:t>
      </w:r>
      <w:r>
        <w:rPr>
          <w:rFonts w:hint="eastAsia" w:ascii="仿宋" w:eastAsia="仿宋" w:cs="Times New Roman"/>
          <w:bCs/>
          <w:sz w:val="28"/>
          <w:szCs w:val="28"/>
        </w:rPr>
        <w:t>三公”经费财政拨款支出决算情况说明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_Toc15396609 \h </w:instrText>
      </w:r>
      <w:r>
        <w:rPr>
          <w:rFonts w:ascii="仿宋" w:eastAsia="仿宋"/>
          <w:sz w:val="28"/>
          <w:szCs w:val="28"/>
        </w:rPr>
        <w:fldChar w:fldCharType="separate"/>
      </w:r>
      <w:r>
        <w:rPr>
          <w:rFonts w:ascii="仿宋" w:eastAsia="仿宋"/>
          <w:sz w:val="28"/>
          <w:szCs w:val="28"/>
        </w:rPr>
        <w:t>8</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"_Toc15396610" </w:instrText>
      </w:r>
      <w:r>
        <w:fldChar w:fldCharType="separate"/>
      </w:r>
      <w:r>
        <w:rPr>
          <w:rFonts w:hint="eastAsia" w:ascii="仿宋" w:eastAsia="仿宋"/>
          <w:sz w:val="28"/>
          <w:szCs w:val="28"/>
        </w:rPr>
        <w:t>八、</w:t>
      </w:r>
      <w:r>
        <w:rPr>
          <w:rFonts w:hint="eastAsia" w:ascii="仿宋" w:eastAsia="仿宋" w:cs="Times New Roman"/>
          <w:bCs/>
          <w:sz w:val="28"/>
          <w:szCs w:val="28"/>
        </w:rPr>
        <w:t>政府性基金预算支出决算情况说明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_Toc15396610 \h </w:instrText>
      </w:r>
      <w:r>
        <w:rPr>
          <w:rFonts w:ascii="仿宋" w:eastAsia="仿宋"/>
          <w:sz w:val="28"/>
          <w:szCs w:val="28"/>
        </w:rPr>
        <w:fldChar w:fldCharType="separate"/>
      </w:r>
      <w:r>
        <w:rPr>
          <w:rFonts w:ascii="仿宋" w:eastAsia="仿宋"/>
          <w:sz w:val="28"/>
          <w:szCs w:val="28"/>
        </w:rPr>
        <w:t>10</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"_Toc15396611" </w:instrText>
      </w:r>
      <w:r>
        <w:fldChar w:fldCharType="separate"/>
      </w:r>
      <w:r>
        <w:rPr>
          <w:rFonts w:hint="eastAsia" w:ascii="仿宋" w:eastAsia="仿宋" w:cs="Times New Roman"/>
          <w:bCs/>
          <w:sz w:val="28"/>
          <w:szCs w:val="28"/>
        </w:rPr>
        <w:t>九、</w:t>
      </w:r>
      <w:r>
        <w:rPr>
          <w:rFonts w:hint="eastAsia" w:ascii="仿宋" w:eastAsia="仿宋"/>
          <w:sz w:val="28"/>
          <w:szCs w:val="28"/>
        </w:rPr>
        <w:t xml:space="preserve"> 国</w:t>
      </w:r>
      <w:r>
        <w:rPr>
          <w:rFonts w:hint="eastAsia" w:ascii="仿宋" w:eastAsia="仿宋" w:cs="Times New Roman"/>
          <w:bCs/>
          <w:sz w:val="28"/>
          <w:szCs w:val="28"/>
        </w:rPr>
        <w:t>有资本经营预算支出决算情况说明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_Toc15396611 \h </w:instrText>
      </w:r>
      <w:r>
        <w:rPr>
          <w:rFonts w:ascii="仿宋" w:eastAsia="仿宋"/>
          <w:sz w:val="28"/>
          <w:szCs w:val="28"/>
        </w:rPr>
        <w:fldChar w:fldCharType="separate"/>
      </w:r>
      <w:r>
        <w:rPr>
          <w:rFonts w:ascii="仿宋" w:eastAsia="仿宋"/>
          <w:sz w:val="28"/>
          <w:szCs w:val="28"/>
        </w:rPr>
        <w:t>10</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"_Toc15396612" </w:instrText>
      </w:r>
      <w:r>
        <w:fldChar w:fldCharType="separate"/>
      </w:r>
      <w:r>
        <w:rPr>
          <w:rFonts w:hint="eastAsia" w:ascii="仿宋" w:eastAsia="仿宋"/>
          <w:sz w:val="28"/>
          <w:szCs w:val="28"/>
        </w:rPr>
        <w:t>十</w:t>
      </w:r>
      <w:r>
        <w:rPr>
          <w:rFonts w:hint="eastAsia" w:ascii="仿宋" w:eastAsia="仿宋" w:cs="Times New Roman"/>
          <w:bCs/>
          <w:sz w:val="28"/>
          <w:szCs w:val="28"/>
        </w:rPr>
        <w:t>一、其他重要事项的情况说明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_Toc15396612 \h </w:instrText>
      </w:r>
      <w:r>
        <w:rPr>
          <w:rFonts w:ascii="仿宋" w:eastAsia="仿宋"/>
          <w:sz w:val="28"/>
          <w:szCs w:val="28"/>
        </w:rPr>
        <w:fldChar w:fldCharType="separate"/>
      </w:r>
      <w:r>
        <w:rPr>
          <w:rFonts w:ascii="仿宋" w:eastAsia="仿宋"/>
          <w:sz w:val="28"/>
          <w:szCs w:val="28"/>
        </w:rPr>
        <w:t>14</w:t>
      </w:r>
      <w:r>
        <w:rPr>
          <w:rFonts w:ascii="仿宋" w:eastAsia="仿宋"/>
          <w:sz w:val="28"/>
          <w:szCs w:val="28"/>
        </w:rPr>
        <w:fldChar w:fldCharType="end"/>
      </w:r>
      <w:r>
        <w:rPr>
          <w:rFonts w:ascii="仿宋" w:eastAsia="仿宋"/>
          <w:sz w:val="28"/>
          <w:szCs w:val="28"/>
        </w:rPr>
        <w:fldChar w:fldCharType="end"/>
      </w:r>
    </w:p>
    <w:p>
      <w:pPr>
        <w:pStyle w:val="10"/>
        <w:rPr>
          <w:rFonts w:cs="Arial"/>
        </w:rPr>
      </w:pPr>
      <w:r>
        <w:fldChar w:fldCharType="begin"/>
      </w:r>
      <w:r>
        <w:instrText xml:space="preserve"> HYPERLINK \l "_Toc15396613" </w:instrText>
      </w:r>
      <w:r>
        <w:fldChar w:fldCharType="separate"/>
      </w:r>
      <w:r>
        <w:rPr>
          <w:rFonts w:hint="eastAsia"/>
          <w:bCs/>
          <w:kern w:val="44"/>
        </w:rPr>
        <w:t>第三部分</w:t>
      </w:r>
      <w:r>
        <w:rPr>
          <w:rFonts w:hint="eastAsia"/>
        </w:rPr>
        <w:t xml:space="preserve"> 名</w:t>
      </w:r>
      <w:r>
        <w:rPr>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Arial"/>
        </w:rPr>
      </w:pPr>
      <w:r>
        <w:fldChar w:fldCharType="begin"/>
      </w:r>
      <w:r>
        <w:instrText xml:space="preserve"> HYPERLINK \l "_Toc15396614" </w:instrText>
      </w:r>
      <w:r>
        <w:fldChar w:fldCharType="separate"/>
      </w:r>
      <w:r>
        <w:rPr>
          <w:rFonts w:hint="eastAsia"/>
        </w:rPr>
        <w:t>第</w:t>
      </w:r>
      <w:r>
        <w:rPr>
          <w:rFonts w:hint="eastAsia"/>
          <w:bCs/>
          <w:kern w:val="44"/>
        </w:rPr>
        <w:t>四部分附件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eastAsia="仿宋" w:cs="Arial"/>
          <w:sz w:val="28"/>
          <w:szCs w:val="28"/>
        </w:rPr>
      </w:pPr>
      <w:r>
        <w:fldChar w:fldCharType="begin"/>
      </w:r>
      <w:r>
        <w:instrText xml:space="preserve"> HYPERLINK \l "_Toc15396615" </w:instrText>
      </w:r>
      <w:r>
        <w:fldChar w:fldCharType="separate"/>
      </w:r>
      <w:r>
        <w:rPr>
          <w:rFonts w:hint="eastAsia" w:ascii="仿宋" w:eastAsia="仿宋"/>
          <w:kern w:val="44"/>
          <w:sz w:val="28"/>
          <w:szCs w:val="28"/>
        </w:rPr>
        <w:t>附件</w:t>
      </w:r>
      <w:r>
        <w:rPr>
          <w:rFonts w:ascii="仿宋" w:eastAsia="仿宋"/>
          <w:kern w:val="44"/>
          <w:sz w:val="28"/>
          <w:szCs w:val="28"/>
        </w:rPr>
        <w:t>1</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_Toc15396615 \h </w:instrText>
      </w:r>
      <w:r>
        <w:rPr>
          <w:rFonts w:ascii="仿宋" w:eastAsia="仿宋"/>
          <w:sz w:val="28"/>
          <w:szCs w:val="28"/>
        </w:rPr>
        <w:fldChar w:fldCharType="separate"/>
      </w:r>
      <w:r>
        <w:rPr>
          <w:rFonts w:ascii="仿宋" w:eastAsia="仿宋"/>
          <w:sz w:val="28"/>
          <w:szCs w:val="28"/>
        </w:rPr>
        <w:t>19</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fldChar w:fldCharType="begin"/>
      </w:r>
      <w:r>
        <w:instrText xml:space="preserve"> HYPERLINK \l "_Toc15396617" </w:instrText>
      </w:r>
      <w:r>
        <w:fldChar w:fldCharType="separate"/>
      </w:r>
      <w:r>
        <w:rPr>
          <w:rFonts w:hint="eastAsia" w:ascii="仿宋" w:eastAsia="仿宋"/>
          <w:kern w:val="44"/>
          <w:sz w:val="28"/>
          <w:szCs w:val="28"/>
        </w:rPr>
        <w:t>附件</w:t>
      </w:r>
      <w:r>
        <w:rPr>
          <w:rFonts w:ascii="仿宋" w:eastAsia="仿宋"/>
          <w:kern w:val="44"/>
          <w:sz w:val="28"/>
          <w:szCs w:val="28"/>
        </w:rPr>
        <w:t>2</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_Toc15396617 \h </w:instrText>
      </w:r>
      <w:r>
        <w:rPr>
          <w:rFonts w:ascii="仿宋" w:eastAsia="仿宋"/>
          <w:sz w:val="28"/>
          <w:szCs w:val="28"/>
        </w:rPr>
        <w:fldChar w:fldCharType="separate"/>
      </w:r>
      <w:r>
        <w:rPr>
          <w:rFonts w:ascii="仿宋" w:eastAsia="仿宋"/>
          <w:sz w:val="28"/>
          <w:szCs w:val="28"/>
        </w:rPr>
        <w:t>21</w:t>
      </w:r>
      <w:r>
        <w:rPr>
          <w:rFonts w:ascii="仿宋" w:eastAsia="仿宋"/>
          <w:sz w:val="28"/>
          <w:szCs w:val="28"/>
        </w:rPr>
        <w:fldChar w:fldCharType="end"/>
      </w:r>
      <w:r>
        <w:rPr>
          <w:rFonts w:ascii="仿宋" w:eastAsia="仿宋"/>
          <w:sz w:val="28"/>
          <w:szCs w:val="28"/>
        </w:rPr>
        <w:fldChar w:fldCharType="end"/>
      </w:r>
    </w:p>
    <w:p>
      <w:pPr>
        <w:pStyle w:val="10"/>
        <w:rPr>
          <w:rFonts w:cs="Arial"/>
        </w:rPr>
      </w:pPr>
      <w:r>
        <w:fldChar w:fldCharType="begin"/>
      </w:r>
      <w:r>
        <w:instrText xml:space="preserve"> HYPERLINK \l "_Toc15396618" </w:instrText>
      </w:r>
      <w:r>
        <w:fldChar w:fldCharType="separate"/>
      </w:r>
      <w:r>
        <w:rPr>
          <w:rFonts w:hint="eastAsia"/>
        </w:rPr>
        <w:t>第</w:t>
      </w:r>
      <w:r>
        <w:rPr>
          <w:rFonts w:hint="eastAsia"/>
          <w:bCs/>
          <w:kern w:val="44"/>
        </w:rPr>
        <w:t>五部分附表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eastAsia="仿宋" w:cs="Arial"/>
          <w:sz w:val="28"/>
          <w:szCs w:val="28"/>
        </w:rPr>
      </w:pPr>
      <w:r>
        <w:rPr>
          <w:rFonts w:hint="eastAsia" w:ascii="仿宋" w:eastAsia="仿宋"/>
          <w:sz w:val="28"/>
          <w:szCs w:val="28"/>
        </w:rPr>
        <w:t>一、</w:t>
      </w:r>
      <w:r>
        <w:fldChar w:fldCharType="begin"/>
      </w:r>
      <w:r>
        <w:instrText xml:space="preserve"> HYPERLINK \l "_Toc15396619" </w:instrText>
      </w:r>
      <w:r>
        <w:fldChar w:fldCharType="separate"/>
      </w:r>
      <w:r>
        <w:rPr>
          <w:rFonts w:hint="eastAsia" w:ascii="仿宋" w:eastAsia="仿宋"/>
          <w:sz w:val="28"/>
          <w:szCs w:val="28"/>
        </w:rPr>
        <w:t>收入支出决算总表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_Toc15396619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二、</w:t>
      </w:r>
      <w:r>
        <w:fldChar w:fldCharType="begin"/>
      </w:r>
      <w:r>
        <w:instrText xml:space="preserve"> HYPERLINK \l "_Toc15396620" </w:instrText>
      </w:r>
      <w:r>
        <w:fldChar w:fldCharType="separate"/>
      </w:r>
      <w:r>
        <w:rPr>
          <w:rFonts w:hint="eastAsia" w:ascii="仿宋" w:eastAsia="仿宋"/>
          <w:sz w:val="28"/>
          <w:szCs w:val="28"/>
        </w:rPr>
        <w:t>收入总表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_Toc15396620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三、</w:t>
      </w:r>
      <w:r>
        <w:fldChar w:fldCharType="begin"/>
      </w:r>
      <w:r>
        <w:instrText xml:space="preserve"> HYPERLINK \l "_Toc15396621" </w:instrText>
      </w:r>
      <w:r>
        <w:fldChar w:fldCharType="separate"/>
      </w:r>
      <w:r>
        <w:rPr>
          <w:rFonts w:hint="eastAsia" w:ascii="仿宋" w:eastAsia="仿宋"/>
          <w:sz w:val="28"/>
          <w:szCs w:val="28"/>
        </w:rPr>
        <w:t>支出总表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_Toc15396621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四、</w:t>
      </w:r>
      <w:r>
        <w:fldChar w:fldCharType="begin"/>
      </w:r>
      <w:r>
        <w:instrText xml:space="preserve"> HYPERLINK \l "_Toc15396622" </w:instrText>
      </w:r>
      <w:r>
        <w:fldChar w:fldCharType="separate"/>
      </w:r>
      <w:r>
        <w:rPr>
          <w:rFonts w:hint="eastAsia" w:ascii="仿宋" w:eastAsia="仿宋"/>
          <w:sz w:val="28"/>
          <w:szCs w:val="28"/>
        </w:rPr>
        <w:t>财政拨款收入支出决算总表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_Toc15396622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sz w:val="28"/>
          <w:szCs w:val="28"/>
        </w:rPr>
      </w:pPr>
      <w:r>
        <w:rPr>
          <w:rFonts w:hint="eastAsia" w:ascii="仿宋" w:eastAsia="仿宋"/>
          <w:sz w:val="28"/>
          <w:szCs w:val="28"/>
        </w:rPr>
        <w:t>五、</w:t>
      </w:r>
      <w:r>
        <w:fldChar w:fldCharType="begin"/>
      </w:r>
      <w:r>
        <w:instrText xml:space="preserve"> HYPERLINK \l "_Toc15396623" </w:instrText>
      </w:r>
      <w:r>
        <w:fldChar w:fldCharType="separate"/>
      </w:r>
      <w:r>
        <w:rPr>
          <w:rFonts w:hint="eastAsia" w:ascii="仿宋" w:eastAsia="仿宋"/>
          <w:sz w:val="28"/>
          <w:szCs w:val="28"/>
        </w:rPr>
        <w:t>财政拨款支出决算明细表（政府经济分类科目）</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_Toc15396623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六、</w:t>
      </w:r>
      <w:r>
        <w:fldChar w:fldCharType="begin"/>
      </w:r>
      <w:r>
        <w:instrText xml:space="preserve"> HYPERLINK \l "_Toc15396624" </w:instrText>
      </w:r>
      <w:r>
        <w:fldChar w:fldCharType="separate"/>
      </w:r>
      <w:r>
        <w:rPr>
          <w:rFonts w:hint="eastAsia" w:ascii="仿宋" w:eastAsia="仿宋"/>
          <w:sz w:val="28"/>
          <w:szCs w:val="28"/>
        </w:rPr>
        <w:t>一般公共预算财政拨款支出决算表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_Toc15396624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七、</w:t>
      </w:r>
      <w:r>
        <w:fldChar w:fldCharType="begin"/>
      </w:r>
      <w:r>
        <w:instrText xml:space="preserve"> HYPERLINK \l "_Toc15396625" </w:instrText>
      </w:r>
      <w:r>
        <w:fldChar w:fldCharType="separate"/>
      </w:r>
      <w:r>
        <w:rPr>
          <w:rFonts w:hint="eastAsia" w:ascii="仿宋" w:eastAsia="仿宋"/>
          <w:sz w:val="28"/>
          <w:szCs w:val="28"/>
        </w:rPr>
        <w:t>一般公共预算财政拨款支出决算明细表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_Toc15396625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八、</w:t>
      </w:r>
      <w:r>
        <w:fldChar w:fldCharType="begin"/>
      </w:r>
      <w:r>
        <w:instrText xml:space="preserve"> HYPERLINK \l "_Toc15396626" </w:instrText>
      </w:r>
      <w:r>
        <w:fldChar w:fldCharType="separate"/>
      </w:r>
      <w:r>
        <w:rPr>
          <w:rFonts w:hint="eastAsia" w:ascii="仿宋" w:eastAsia="仿宋"/>
          <w:sz w:val="28"/>
          <w:szCs w:val="28"/>
        </w:rPr>
        <w:t>一般公共预算财政拨款基本支出决算表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_Toc15396626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九、</w:t>
      </w:r>
      <w:r>
        <w:fldChar w:fldCharType="begin"/>
      </w:r>
      <w:r>
        <w:instrText xml:space="preserve"> HYPERLINK \l "_Toc15396627" </w:instrText>
      </w:r>
      <w:r>
        <w:fldChar w:fldCharType="separate"/>
      </w:r>
      <w:r>
        <w:rPr>
          <w:rFonts w:hint="eastAsia" w:ascii="仿宋" w:eastAsia="仿宋"/>
          <w:sz w:val="28"/>
          <w:szCs w:val="28"/>
        </w:rPr>
        <w:t>一般公共预算财政拨款项目支出决算表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_Toc15396627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十、</w:t>
      </w:r>
      <w:r>
        <w:fldChar w:fldCharType="begin"/>
      </w:r>
      <w:r>
        <w:instrText xml:space="preserve"> HYPERLINK \l "_Toc15396628" </w:instrText>
      </w:r>
      <w:r>
        <w:fldChar w:fldCharType="separate"/>
      </w:r>
      <w:r>
        <w:rPr>
          <w:rFonts w:hint="eastAsia" w:ascii="仿宋" w:eastAsia="仿宋"/>
          <w:sz w:val="28"/>
          <w:szCs w:val="28"/>
        </w:rPr>
        <w:t>一般公共预算财政拨款“三公”经费支出决算表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_Toc15396628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十一、</w:t>
      </w:r>
      <w:r>
        <w:fldChar w:fldCharType="begin"/>
      </w:r>
      <w:r>
        <w:instrText xml:space="preserve"> HYPERLINK \l "_Toc15396629" </w:instrText>
      </w:r>
      <w:r>
        <w:fldChar w:fldCharType="separate"/>
      </w:r>
      <w:r>
        <w:rPr>
          <w:rFonts w:hint="eastAsia" w:ascii="仿宋" w:eastAsia="仿宋"/>
          <w:sz w:val="28"/>
          <w:szCs w:val="28"/>
        </w:rPr>
        <w:t>政府性基金预算财政拨款收入支出决算表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_Toc15396629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8"/>
          <w:szCs w:val="28"/>
        </w:rPr>
      </w:pPr>
      <w:r>
        <w:rPr>
          <w:rFonts w:hint="eastAsia" w:ascii="仿宋" w:eastAsia="仿宋"/>
          <w:sz w:val="28"/>
          <w:szCs w:val="28"/>
        </w:rPr>
        <w:t>十二、</w:t>
      </w:r>
      <w:r>
        <w:fldChar w:fldCharType="begin"/>
      </w:r>
      <w:r>
        <w:instrText xml:space="preserve"> HYPERLINK \l "_Toc15396630" </w:instrText>
      </w:r>
      <w:r>
        <w:fldChar w:fldCharType="separate"/>
      </w:r>
      <w:r>
        <w:rPr>
          <w:rFonts w:hint="eastAsia" w:ascii="仿宋" w:eastAsia="仿宋"/>
          <w:sz w:val="28"/>
          <w:szCs w:val="28"/>
        </w:rPr>
        <w:t>政府性基金预算财政拨款“三公”经费支出决算表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_Toc15396630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pStyle w:val="11"/>
        <w:rPr>
          <w:rFonts w:ascii="仿宋" w:eastAsia="仿宋" w:cs="Arial"/>
          <w:sz w:val="24"/>
        </w:rPr>
      </w:pPr>
      <w:r>
        <w:rPr>
          <w:rFonts w:hint="eastAsia" w:ascii="仿宋" w:eastAsia="仿宋"/>
          <w:sz w:val="28"/>
          <w:szCs w:val="28"/>
        </w:rPr>
        <w:t>十三、</w:t>
      </w:r>
      <w:r>
        <w:fldChar w:fldCharType="begin"/>
      </w:r>
      <w:r>
        <w:instrText xml:space="preserve"> HYPERLINK \l "_Toc15396631" </w:instrText>
      </w:r>
      <w:r>
        <w:fldChar w:fldCharType="separate"/>
      </w:r>
      <w:r>
        <w:rPr>
          <w:rFonts w:hint="eastAsia" w:ascii="仿宋" w:eastAsia="仿宋"/>
          <w:sz w:val="28"/>
          <w:szCs w:val="28"/>
        </w:rPr>
        <w:t>国有资本经营预算支出决算表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_Toc15396631 \h </w:instrText>
      </w:r>
      <w:r>
        <w:rPr>
          <w:rFonts w:ascii="仿宋" w:eastAsia="仿宋"/>
          <w:sz w:val="28"/>
          <w:szCs w:val="28"/>
        </w:rPr>
        <w:fldChar w:fldCharType="separate"/>
      </w:r>
      <w:r>
        <w:rPr>
          <w:rFonts w:ascii="仿宋" w:eastAsia="仿宋"/>
          <w:sz w:val="28"/>
          <w:szCs w:val="28"/>
        </w:rPr>
        <w:t>22</w:t>
      </w:r>
      <w:r>
        <w:rPr>
          <w:rFonts w:ascii="仿宋" w:eastAsia="仿宋"/>
          <w:sz w:val="28"/>
          <w:szCs w:val="28"/>
        </w:rPr>
        <w:fldChar w:fldCharType="end"/>
      </w:r>
      <w:r>
        <w:rPr>
          <w:rFonts w:ascii="仿宋" w:eastAsia="仿宋"/>
          <w:sz w:val="28"/>
          <w:szCs w:val="28"/>
        </w:rPr>
        <w:fldChar w:fldCharType="end"/>
      </w:r>
    </w:p>
    <w:p>
      <w:pPr>
        <w:widowControl/>
        <w:jc w:val="left"/>
        <w:rPr>
          <w:rFonts w:ascii="仿宋" w:eastAsia="仿宋"/>
          <w:color w:val="000000"/>
          <w:sz w:val="24"/>
        </w:rPr>
      </w:pPr>
      <w:r>
        <w:rPr>
          <w:rFonts w:ascii="仿宋" w:eastAsia="仿宋"/>
          <w:color w:val="000000"/>
          <w:sz w:val="24"/>
        </w:rPr>
        <w:fldChar w:fldCharType="end"/>
      </w:r>
    </w:p>
    <w:p>
      <w:pPr>
        <w:widowControl/>
        <w:jc w:val="left"/>
        <w:rPr>
          <w:rFonts w:ascii="黑体" w:eastAsia="黑体"/>
          <w:bCs/>
          <w:kern w:val="44"/>
          <w:sz w:val="44"/>
          <w:szCs w:val="44"/>
        </w:rPr>
      </w:pPr>
      <w:bookmarkStart w:id="12" w:name="_Toc15396599"/>
      <w:bookmarkStart w:id="13" w:name="_Toc15377196"/>
      <w:r>
        <w:rPr>
          <w:rFonts w:ascii="黑体" w:eastAsia="黑体"/>
          <w:b/>
        </w:rPr>
        <w:br w:type="page"/>
      </w:r>
    </w:p>
    <w:p>
      <w:pPr>
        <w:pStyle w:val="2"/>
        <w:jc w:val="center"/>
        <w:rPr>
          <w:rStyle w:val="16"/>
          <w:rFonts w:ascii="黑体" w:eastAsia="黑体"/>
          <w:b/>
          <w:bCs w:val="0"/>
        </w:rPr>
      </w:pPr>
      <w:r>
        <w:rPr>
          <w:rFonts w:hint="eastAsia" w:ascii="黑体" w:eastAsia="黑体"/>
          <w:b w:val="0"/>
        </w:rPr>
        <w:t xml:space="preserve">第一部分 </w:t>
      </w:r>
      <w:r>
        <w:rPr>
          <w:rStyle w:val="16"/>
          <w:rFonts w:hint="eastAsia" w:asci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7"/>
          <w:rFonts w:ascii="仿宋" w:eastAsia="仿宋"/>
          <w:b w:val="0"/>
          <w:bCs w:val="0"/>
        </w:rPr>
      </w:pPr>
      <w:bookmarkStart w:id="14" w:name="_Toc15396600"/>
      <w:bookmarkStart w:id="15" w:name="_Toc15377197"/>
      <w:r>
        <w:rPr>
          <w:rFonts w:hint="eastAsia" w:ascii="黑体" w:eastAsia="黑体"/>
          <w:b w:val="0"/>
          <w:color w:val="000000"/>
        </w:rPr>
        <w:t>一、基</w:t>
      </w:r>
      <w:r>
        <w:rPr>
          <w:rStyle w:val="17"/>
          <w:rFonts w:hint="eastAsia" w:ascii="黑体" w:eastAsia="黑体"/>
          <w:b w:val="0"/>
          <w:bCs w:val="0"/>
        </w:rPr>
        <w:t>本职能及主要工作</w:t>
      </w:r>
      <w:bookmarkEnd w:id="14"/>
      <w:bookmarkEnd w:id="15"/>
    </w:p>
    <w:p>
      <w:pPr>
        <w:pStyle w:val="5"/>
        <w:adjustRightInd w:val="0"/>
        <w:snapToGrid w:val="0"/>
        <w:spacing w:before="93" w:beforeLines="0" w:line="600" w:lineRule="exact"/>
        <w:ind w:firstLine="668" w:firstLineChars="209"/>
        <w:outlineLvl w:val="2"/>
        <w:rPr>
          <w:rFonts w:ascii="仿宋" w:eastAsia="仿宋"/>
          <w:bCs/>
          <w:color w:val="000000"/>
          <w:sz w:val="32"/>
          <w:szCs w:val="32"/>
        </w:rPr>
      </w:pPr>
      <w:bookmarkStart w:id="16" w:name="_Toc15377198"/>
      <w:bookmarkStart w:id="17" w:name="_Toc15378445"/>
      <w:r>
        <w:rPr>
          <w:rFonts w:hint="eastAsia" w:ascii="仿宋" w:eastAsia="仿宋"/>
          <w:bCs/>
          <w:color w:val="000000"/>
          <w:sz w:val="32"/>
          <w:szCs w:val="32"/>
        </w:rPr>
        <w:t>（一）主要职能。</w:t>
      </w:r>
      <w:bookmarkEnd w:id="16"/>
      <w:bookmarkEnd w:id="17"/>
    </w:p>
    <w:p>
      <w:pPr>
        <w:spacing w:line="578" w:lineRule="exact"/>
        <w:ind w:firstLine="640" w:firstLineChars="200"/>
        <w:rPr>
          <w:rFonts w:eastAsia="仿宋_GB2312"/>
          <w:sz w:val="32"/>
          <w:szCs w:val="32"/>
          <w:shd w:val="clear" w:color="auto" w:fill="FFFFFF"/>
        </w:rPr>
      </w:pPr>
      <w:bookmarkStart w:id="18" w:name="_Toc15377199"/>
      <w:bookmarkStart w:id="19" w:name="_Toc15378446"/>
      <w:r>
        <w:rPr>
          <w:rFonts w:hint="eastAsia" w:eastAsia="仿宋_GB2312"/>
          <w:sz w:val="32"/>
          <w:szCs w:val="32"/>
          <w:shd w:val="clear" w:color="auto" w:fill="FFFFFF"/>
        </w:rPr>
        <w:t>1、制定和组织实施经济、科技和社会发展计划，制定资源开发技术改造和产业结构调整方案，组织指导好农业生产，搞好商品流通，协调好本镇与外地区的经济交流与合作，抓好招商引资，人才引进项目开发，不断培育市场体系，组织经济运行，促进经济发展。</w:t>
      </w:r>
    </w:p>
    <w:p>
      <w:pPr>
        <w:spacing w:line="578"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2、制定并组织实施村镇建设规划，部署重点工程建设，地方道路建设及公共设施，水利设施的管理，负责土地、林木、水等自然资源和生态环境的保护，做好护林防火工作。</w:t>
      </w:r>
    </w:p>
    <w:p>
      <w:pPr>
        <w:spacing w:line="578"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3、负责本行政区域内的民政、计划生育、文化教育、卫生、体育等社会公益事业的综合性工作，维护一切经济单位和个人的正当经济权益，取缔非法经济活动，调解和处理民事纠纷，打击刑事犯罪维护社会稳定。</w:t>
      </w:r>
    </w:p>
    <w:p>
      <w:pPr>
        <w:spacing w:line="578"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4、按计划组织本级财政收入和地方税的征收，完成国家财政计划，不断培植税源，管好财政资金，增强财政实力。</w:t>
      </w:r>
    </w:p>
    <w:p>
      <w:pPr>
        <w:spacing w:line="578"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5、抓好精神文明建设，丰富群众文化生活，提倡移风易俗，反对封建迷信，破除陈规陋习，树立社会主义新风尚。</w:t>
      </w:r>
    </w:p>
    <w:p>
      <w:pPr>
        <w:spacing w:line="578"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6、完成上级政府交办的其它事项。</w:t>
      </w:r>
    </w:p>
    <w:p>
      <w:pPr>
        <w:spacing w:line="578" w:lineRule="exact"/>
        <w:ind w:firstLine="640" w:firstLineChars="200"/>
        <w:rPr>
          <w:rFonts w:ascii="仿宋" w:eastAsia="仿宋"/>
          <w:bCs/>
          <w:color w:val="000000"/>
          <w:sz w:val="32"/>
          <w:szCs w:val="32"/>
        </w:rPr>
      </w:pPr>
      <w:r>
        <w:rPr>
          <w:rFonts w:hint="eastAsia" w:ascii="仿宋" w:eastAsia="仿宋"/>
          <w:bCs/>
          <w:color w:val="000000"/>
          <w:sz w:val="32"/>
          <w:szCs w:val="32"/>
        </w:rPr>
        <w:t>（二）</w:t>
      </w:r>
      <w:r>
        <w:rPr>
          <w:rFonts w:ascii="仿宋" w:eastAsia="仿宋"/>
          <w:bCs/>
          <w:color w:val="000000"/>
          <w:sz w:val="32"/>
          <w:szCs w:val="32"/>
        </w:rPr>
        <w:t>201</w:t>
      </w:r>
      <w:r>
        <w:rPr>
          <w:rFonts w:hint="eastAsia" w:ascii="仿宋" w:eastAsia="仿宋"/>
          <w:bCs/>
          <w:color w:val="000000"/>
          <w:sz w:val="32"/>
          <w:szCs w:val="32"/>
        </w:rPr>
        <w:t>8年重点工作完成情况。</w:t>
      </w:r>
      <w:bookmarkEnd w:id="18"/>
      <w:bookmarkEnd w:id="19"/>
    </w:p>
    <w:p>
      <w:pPr>
        <w:ind w:firstLine="640" w:firstLineChars="200"/>
        <w:rPr>
          <w:rFonts w:ascii="仿宋" w:eastAsia="仿宋" w:cs="仿宋"/>
          <w:sz w:val="32"/>
          <w:szCs w:val="32"/>
        </w:rPr>
      </w:pPr>
      <w:r>
        <w:rPr>
          <w:rFonts w:hint="eastAsia" w:ascii="仿宋" w:eastAsia="仿宋" w:cs="仿宋"/>
          <w:sz w:val="32"/>
          <w:szCs w:val="32"/>
        </w:rPr>
        <w:t>2018年，在镇党委的坚强领导下，在镇人大的监督支持下，桥湾镇人民政府紧跟中央、省市区委步伐，围绕区委“12235”总体部署，紧扣“各项工作创一流、多项工作争第一”的工作基调，全力以赴谋发展，持之以恒补短板，坚定不移办实事，各项工作取得较大成绩。</w:t>
      </w:r>
    </w:p>
    <w:p>
      <w:pPr>
        <w:ind w:firstLine="640" w:firstLineChars="200"/>
        <w:rPr>
          <w:rFonts w:ascii="仿宋" w:eastAsia="仿宋" w:cs="仿宋"/>
          <w:sz w:val="32"/>
          <w:szCs w:val="32"/>
        </w:rPr>
      </w:pPr>
      <w:r>
        <w:rPr>
          <w:rFonts w:hint="eastAsia" w:ascii="仿宋" w:eastAsia="仿宋" w:cs="仿宋"/>
          <w:sz w:val="32"/>
          <w:szCs w:val="32"/>
        </w:rPr>
        <w:t>2018年，我们坚持把学习贯彻习近平新时代中国特色社会主义思想作为首要政治任务，始终同以习近平同志为核心的党中央保持高度一致。坚持以习近平总书记对四川工作系列重要指示精神统领政府各项工作，牢固树立“四个意识”，坚定“四个自信”，践行“两个维护”。</w:t>
      </w:r>
    </w:p>
    <w:p>
      <w:pPr>
        <w:ind w:firstLine="640" w:firstLineChars="200"/>
        <w:rPr>
          <w:rFonts w:ascii="仿宋" w:eastAsia="仿宋" w:cs="仿宋"/>
          <w:sz w:val="32"/>
          <w:szCs w:val="32"/>
        </w:rPr>
      </w:pPr>
      <w:r>
        <w:rPr>
          <w:rFonts w:hint="eastAsia" w:ascii="仿宋" w:eastAsia="仿宋" w:cs="仿宋"/>
          <w:sz w:val="32"/>
          <w:szCs w:val="32"/>
        </w:rPr>
        <w:t>2018年，</w:t>
      </w:r>
      <w:r>
        <w:rPr>
          <w:rFonts w:ascii="仿宋" w:eastAsia="仿宋" w:cs="仿宋"/>
          <w:sz w:val="32"/>
          <w:szCs w:val="32"/>
        </w:rPr>
        <w:t>全镇完成地区生产总值3.856亿元，比2017年增加0.17亿元，年均增长8.09%,其中第一产业完成1.324亿元，年均增长4.62%,第二产业完成0.832亿元，年均增长10.59%,第三产业完成0.892亿元，年均增长9.81%。农村常住居民人均可支配收入10058元，比2017年增加926元，年均增长10.14%。</w:t>
      </w:r>
    </w:p>
    <w:p>
      <w:pPr>
        <w:ind w:firstLine="640" w:firstLineChars="200"/>
        <w:rPr>
          <w:rFonts w:ascii="仿宋" w:eastAsia="仿宋" w:cs="仿宋"/>
          <w:sz w:val="32"/>
          <w:szCs w:val="32"/>
        </w:rPr>
      </w:pPr>
      <w:r>
        <w:rPr>
          <w:rFonts w:hint="eastAsia" w:ascii="仿宋" w:eastAsia="仿宋" w:cs="仿宋"/>
          <w:sz w:val="32"/>
          <w:szCs w:val="32"/>
        </w:rPr>
        <w:t>2018年，我们</w:t>
      </w:r>
      <w:r>
        <w:rPr>
          <w:rFonts w:hint="eastAsia" w:ascii="仿宋" w:eastAsia="仿宋" w:cs="仿宋"/>
          <w:sz w:val="32"/>
          <w:szCs w:val="32"/>
          <w:lang w:eastAsia="zh-CN"/>
        </w:rPr>
        <w:t>勠力同心</w:t>
      </w:r>
      <w:r>
        <w:rPr>
          <w:rFonts w:hint="eastAsia" w:ascii="仿宋" w:eastAsia="仿宋" w:cs="仿宋"/>
          <w:sz w:val="32"/>
          <w:szCs w:val="32"/>
        </w:rPr>
        <w:t>、克难攻坚，桥湾镇脱贫攻坚工作取得巨大进步。贫困群众纷纷脱贫致富，脱贫志向更加坚定了、脱贫目标更加明确了、房前屋后更加干净了、对政府服务更加满意了。2018年拟退出的3个贫困村、</w:t>
      </w:r>
      <w:r>
        <w:rPr>
          <w:rFonts w:eastAsia="仿宋_GB2312"/>
          <w:sz w:val="32"/>
          <w:szCs w:val="32"/>
        </w:rPr>
        <w:t>153户400</w:t>
      </w:r>
      <w:r>
        <w:rPr>
          <w:rFonts w:hint="eastAsia" w:eastAsia="仿宋_GB2312"/>
          <w:sz w:val="32"/>
          <w:szCs w:val="32"/>
        </w:rPr>
        <w:t>名</w:t>
      </w:r>
      <w:r>
        <w:rPr>
          <w:rFonts w:hint="eastAsia" w:ascii="仿宋" w:eastAsia="仿宋" w:cs="仿宋"/>
          <w:sz w:val="32"/>
          <w:szCs w:val="32"/>
        </w:rPr>
        <w:t>贫困人口达到脱贫退出标准，</w:t>
      </w:r>
      <w:r>
        <w:rPr>
          <w:rFonts w:eastAsia="仿宋_GB2312"/>
          <w:sz w:val="32"/>
          <w:szCs w:val="32"/>
        </w:rPr>
        <w:t>2699</w:t>
      </w:r>
      <w:r>
        <w:rPr>
          <w:rFonts w:hint="eastAsia" w:ascii="仿宋" w:eastAsia="仿宋" w:cs="仿宋"/>
          <w:sz w:val="32"/>
          <w:szCs w:val="32"/>
        </w:rPr>
        <w:t>名贫困人口脱贫成效持续巩固，</w:t>
      </w:r>
      <w:r>
        <w:rPr>
          <w:rFonts w:eastAsia="仿宋_GB2312"/>
          <w:sz w:val="32"/>
          <w:szCs w:val="32"/>
        </w:rPr>
        <w:t>全镇贫困发生率降至0.69%。</w:t>
      </w:r>
      <w:r>
        <w:rPr>
          <w:rFonts w:hint="eastAsia" w:ascii="仿宋" w:eastAsia="仿宋" w:cs="仿宋"/>
          <w:sz w:val="32"/>
          <w:szCs w:val="32"/>
        </w:rPr>
        <w:t>全镇</w:t>
      </w:r>
      <w:r>
        <w:rPr>
          <w:rFonts w:eastAsia="仿宋_GB2312"/>
          <w:sz w:val="32"/>
          <w:szCs w:val="32"/>
        </w:rPr>
        <w:t>21个村（社区）均全部建成便民服务室（代办点），</w:t>
      </w:r>
      <w:r>
        <w:rPr>
          <w:rFonts w:hint="eastAsia" w:eastAsia="仿宋_GB2312"/>
          <w:sz w:val="32"/>
          <w:szCs w:val="32"/>
        </w:rPr>
        <w:t>镇便民服务中心</w:t>
      </w:r>
      <w:r>
        <w:rPr>
          <w:rFonts w:eastAsia="仿宋_GB2312"/>
          <w:sz w:val="32"/>
          <w:szCs w:val="32"/>
        </w:rPr>
        <w:t>大厅</w:t>
      </w:r>
      <w:r>
        <w:rPr>
          <w:rFonts w:hint="eastAsia" w:eastAsia="仿宋_GB2312"/>
          <w:sz w:val="32"/>
          <w:szCs w:val="32"/>
        </w:rPr>
        <w:t>将</w:t>
      </w:r>
      <w:r>
        <w:rPr>
          <w:rFonts w:eastAsia="仿宋_GB2312"/>
          <w:sz w:val="32"/>
          <w:szCs w:val="32"/>
        </w:rPr>
        <w:t>涉及群众切身利益的事项</w:t>
      </w:r>
      <w:r>
        <w:rPr>
          <w:rFonts w:hint="eastAsia" w:eastAsia="仿宋_GB2312"/>
          <w:sz w:val="32"/>
          <w:szCs w:val="32"/>
        </w:rPr>
        <w:t>全部</w:t>
      </w:r>
      <w:r>
        <w:rPr>
          <w:rFonts w:eastAsia="仿宋_GB2312"/>
          <w:sz w:val="32"/>
          <w:szCs w:val="32"/>
        </w:rPr>
        <w:t>纳入</w:t>
      </w:r>
      <w:r>
        <w:rPr>
          <w:rFonts w:hint="eastAsia" w:eastAsia="仿宋_GB2312"/>
          <w:sz w:val="32"/>
          <w:szCs w:val="32"/>
        </w:rPr>
        <w:t>了</w:t>
      </w:r>
      <w:r>
        <w:rPr>
          <w:rFonts w:eastAsia="仿宋_GB2312"/>
          <w:sz w:val="32"/>
          <w:szCs w:val="32"/>
        </w:rPr>
        <w:t>便民服务中心公开规范办理。</w:t>
      </w:r>
      <w:r>
        <w:rPr>
          <w:rFonts w:hint="eastAsia" w:ascii="仿宋" w:eastAsia="仿宋" w:cs="仿宋"/>
          <w:sz w:val="32"/>
          <w:szCs w:val="32"/>
        </w:rPr>
        <w:t>桥湾小学、初中生均面积用房、</w:t>
      </w:r>
      <w:r>
        <w:rPr>
          <w:rFonts w:eastAsia="仿宋_GB2312"/>
          <w:sz w:val="32"/>
          <w:szCs w:val="32"/>
        </w:rPr>
        <w:t>电脑配置</w:t>
      </w:r>
      <w:r>
        <w:rPr>
          <w:rFonts w:hint="eastAsia" w:eastAsia="仿宋_GB2312"/>
          <w:sz w:val="32"/>
          <w:szCs w:val="32"/>
        </w:rPr>
        <w:t>、</w:t>
      </w:r>
      <w:r>
        <w:rPr>
          <w:rFonts w:eastAsia="仿宋_GB2312"/>
          <w:sz w:val="32"/>
          <w:szCs w:val="32"/>
        </w:rPr>
        <w:t>学校现有图书</w:t>
      </w:r>
      <w:r>
        <w:rPr>
          <w:rFonts w:hint="eastAsia" w:eastAsia="仿宋_GB2312"/>
          <w:sz w:val="32"/>
          <w:szCs w:val="32"/>
        </w:rPr>
        <w:t>、</w:t>
      </w:r>
      <w:r>
        <w:rPr>
          <w:rFonts w:eastAsia="仿宋_GB2312"/>
          <w:sz w:val="32"/>
          <w:szCs w:val="32"/>
        </w:rPr>
        <w:t>师生比</w:t>
      </w:r>
      <w:r>
        <w:rPr>
          <w:rFonts w:hint="eastAsia" w:eastAsia="仿宋_GB2312"/>
          <w:sz w:val="32"/>
          <w:szCs w:val="32"/>
        </w:rPr>
        <w:t>、教师</w:t>
      </w:r>
      <w:r>
        <w:rPr>
          <w:rFonts w:eastAsia="仿宋_GB2312"/>
          <w:sz w:val="32"/>
          <w:szCs w:val="32"/>
        </w:rPr>
        <w:t>学历</w:t>
      </w:r>
      <w:r>
        <w:rPr>
          <w:rFonts w:hint="eastAsia" w:eastAsia="仿宋_GB2312"/>
          <w:sz w:val="32"/>
          <w:szCs w:val="32"/>
        </w:rPr>
        <w:t>均达到或超过脱贫验收标准</w:t>
      </w:r>
      <w:r>
        <w:rPr>
          <w:rFonts w:eastAsia="仿宋_GB2312"/>
          <w:sz w:val="32"/>
          <w:szCs w:val="32"/>
        </w:rPr>
        <w:t>。</w:t>
      </w:r>
      <w:r>
        <w:rPr>
          <w:rFonts w:hint="eastAsia" w:ascii="仿宋" w:eastAsia="仿宋" w:cs="仿宋"/>
          <w:sz w:val="32"/>
          <w:szCs w:val="32"/>
        </w:rPr>
        <w:t>桥湾卫生院</w:t>
      </w:r>
      <w:r>
        <w:rPr>
          <w:rFonts w:eastAsia="仿宋_GB2312"/>
          <w:sz w:val="32"/>
          <w:szCs w:val="32"/>
        </w:rPr>
        <w:t>床位</w:t>
      </w:r>
      <w:r>
        <w:rPr>
          <w:rFonts w:hint="eastAsia" w:eastAsia="仿宋_GB2312"/>
          <w:sz w:val="32"/>
          <w:szCs w:val="32"/>
        </w:rPr>
        <w:t>、</w:t>
      </w:r>
      <w:r>
        <w:rPr>
          <w:rFonts w:eastAsia="仿宋_GB2312"/>
          <w:sz w:val="32"/>
          <w:szCs w:val="32"/>
        </w:rPr>
        <w:t>面积</w:t>
      </w:r>
      <w:r>
        <w:rPr>
          <w:rFonts w:hint="eastAsia" w:ascii="仿宋" w:eastAsia="仿宋" w:cs="仿宋"/>
          <w:sz w:val="32"/>
          <w:szCs w:val="32"/>
        </w:rPr>
        <w:t>也达到了脱贫达标标准。</w:t>
      </w:r>
    </w:p>
    <w:p>
      <w:pPr>
        <w:ind w:firstLine="640" w:firstLineChars="200"/>
        <w:rPr>
          <w:rFonts w:ascii="仿宋" w:eastAsia="仿宋" w:cs="仿宋"/>
          <w:sz w:val="32"/>
          <w:szCs w:val="32"/>
        </w:rPr>
      </w:pPr>
      <w:r>
        <w:rPr>
          <w:rFonts w:hint="eastAsia" w:ascii="仿宋" w:eastAsia="仿宋" w:cs="仿宋"/>
          <w:sz w:val="32"/>
          <w:szCs w:val="32"/>
        </w:rPr>
        <w:t>2018年，我们负重前行、祗砺深耕，桥湾农业产业发展更加向好。粮食生产持续发力，农民再获丰收，</w:t>
      </w:r>
      <w:r>
        <w:rPr>
          <w:rFonts w:ascii="仿宋" w:eastAsia="仿宋" w:cs="仿宋"/>
          <w:sz w:val="32"/>
          <w:szCs w:val="32"/>
        </w:rPr>
        <w:t>优质水稻</w:t>
      </w:r>
      <w:r>
        <w:rPr>
          <w:rFonts w:hint="eastAsia" w:ascii="仿宋" w:eastAsia="仿宋" w:cs="仿宋"/>
          <w:sz w:val="32"/>
          <w:szCs w:val="32"/>
        </w:rPr>
        <w:t>完成</w:t>
      </w:r>
      <w:r>
        <w:rPr>
          <w:rFonts w:ascii="仿宋" w:eastAsia="仿宋" w:cs="仿宋"/>
          <w:sz w:val="32"/>
          <w:szCs w:val="32"/>
        </w:rPr>
        <w:t>栽培育种2000余亩。</w:t>
      </w:r>
      <w:r>
        <w:rPr>
          <w:rFonts w:hint="eastAsia" w:ascii="仿宋" w:eastAsia="仿宋" w:cs="仿宋"/>
          <w:sz w:val="32"/>
          <w:szCs w:val="32"/>
        </w:rPr>
        <w:t>全镇</w:t>
      </w:r>
      <w:r>
        <w:rPr>
          <w:rFonts w:ascii="仿宋" w:eastAsia="仿宋" w:cs="仿宋"/>
          <w:sz w:val="32"/>
          <w:szCs w:val="32"/>
        </w:rPr>
        <w:t>发展种植大户31户</w:t>
      </w:r>
      <w:r>
        <w:rPr>
          <w:rFonts w:hint="eastAsia" w:ascii="仿宋" w:eastAsia="仿宋" w:cs="仿宋"/>
          <w:sz w:val="32"/>
          <w:szCs w:val="32"/>
        </w:rPr>
        <w:t>、</w:t>
      </w:r>
      <w:r>
        <w:rPr>
          <w:rFonts w:ascii="仿宋" w:eastAsia="仿宋" w:cs="仿宋"/>
          <w:sz w:val="32"/>
          <w:szCs w:val="32"/>
        </w:rPr>
        <w:t>家庭农场5个。农业产业结构不断调整优化，产业地位进一步稳固。畜牧工作有序开展，</w:t>
      </w:r>
      <w:r>
        <w:rPr>
          <w:rFonts w:hint="eastAsia" w:ascii="仿宋" w:eastAsia="仿宋" w:cs="仿宋"/>
          <w:sz w:val="32"/>
          <w:szCs w:val="32"/>
        </w:rPr>
        <w:t>全镇现有</w:t>
      </w:r>
      <w:r>
        <w:rPr>
          <w:rFonts w:ascii="仿宋" w:eastAsia="仿宋" w:cs="仿宋"/>
          <w:sz w:val="32"/>
          <w:szCs w:val="32"/>
        </w:rPr>
        <w:t>畜牧养殖大户8户，总产值68万元。以柑桔、水蜜桃、青花椒为主林果种植面积达5000亩</w:t>
      </w:r>
      <w:r>
        <w:rPr>
          <w:rFonts w:hint="eastAsia" w:ascii="仿宋" w:eastAsia="仿宋" w:cs="仿宋"/>
          <w:sz w:val="32"/>
          <w:szCs w:val="32"/>
        </w:rPr>
        <w:t>。</w:t>
      </w:r>
      <w:r>
        <w:rPr>
          <w:rFonts w:ascii="仿宋" w:eastAsia="仿宋" w:cs="仿宋"/>
          <w:sz w:val="32"/>
          <w:szCs w:val="32"/>
        </w:rPr>
        <w:t>今年，在水果种植方面我镇重点引进重庆江津长叶香橙，青花椒种植也被列为达川区主要产地。</w:t>
      </w:r>
    </w:p>
    <w:p>
      <w:pPr>
        <w:spacing w:line="578" w:lineRule="exact"/>
        <w:ind w:firstLine="640" w:firstLineChars="200"/>
        <w:rPr>
          <w:rFonts w:ascii="仿宋" w:eastAsia="仿宋" w:cs="仿宋"/>
          <w:sz w:val="32"/>
          <w:szCs w:val="32"/>
        </w:rPr>
      </w:pPr>
      <w:r>
        <w:rPr>
          <w:rFonts w:hint="eastAsia" w:ascii="仿宋" w:eastAsia="仿宋" w:cs="仿宋"/>
          <w:sz w:val="32"/>
          <w:szCs w:val="32"/>
        </w:rPr>
        <w:t>2018年，我们与时赛跑、挂图作战，桥湾基础更加坚实。一是</w:t>
      </w:r>
      <w:r>
        <w:rPr>
          <w:rFonts w:ascii="仿宋" w:eastAsia="仿宋" w:cs="仿宋"/>
          <w:sz w:val="32"/>
          <w:szCs w:val="32"/>
        </w:rPr>
        <w:t>由交通局牵头的大滴路已经完工，极大的改变了桥湾镇群众的出行；硬化村道总里程达4公里。全镇20个行政村通车率达100%；桥石路工程已经完工并投入使用。</w:t>
      </w:r>
      <w:r>
        <w:rPr>
          <w:rFonts w:hint="eastAsia" w:ascii="仿宋" w:eastAsia="仿宋" w:cs="仿宋"/>
          <w:sz w:val="32"/>
          <w:szCs w:val="32"/>
        </w:rPr>
        <w:t>二是</w:t>
      </w:r>
      <w:r>
        <w:rPr>
          <w:rFonts w:ascii="仿宋" w:eastAsia="仿宋" w:cs="仿宋"/>
          <w:sz w:val="32"/>
          <w:szCs w:val="32"/>
        </w:rPr>
        <w:t>水利建设力度</w:t>
      </w:r>
      <w:r>
        <w:rPr>
          <w:rFonts w:hint="eastAsia" w:ascii="仿宋" w:eastAsia="仿宋" w:cs="仿宋"/>
          <w:sz w:val="32"/>
          <w:szCs w:val="32"/>
        </w:rPr>
        <w:t>进一步</w:t>
      </w:r>
      <w:r>
        <w:rPr>
          <w:rFonts w:ascii="仿宋" w:eastAsia="仿宋" w:cs="仿宋"/>
          <w:sz w:val="32"/>
          <w:szCs w:val="32"/>
        </w:rPr>
        <w:t>加大</w:t>
      </w:r>
      <w:r>
        <w:rPr>
          <w:rFonts w:hint="eastAsia" w:ascii="仿宋" w:eastAsia="仿宋" w:cs="仿宋"/>
          <w:sz w:val="32"/>
          <w:szCs w:val="32"/>
        </w:rPr>
        <w:t>，</w:t>
      </w:r>
      <w:r>
        <w:rPr>
          <w:rFonts w:ascii="仿宋" w:eastAsia="仿宋" w:cs="仿宋"/>
          <w:sz w:val="32"/>
          <w:szCs w:val="32"/>
        </w:rPr>
        <w:t>争取资金500余万元，组织实施新建蓄水池50余个，清理渠道5公里。维修损毁堰塘10余口，新修堰塘1口，改善5000余村民人畜饮水困难。瑶坪村水库大坝维修工程已经完工。文家村、碑梁村、亮垭村人畜饮水工程已经投入使用。</w:t>
      </w:r>
      <w:r>
        <w:rPr>
          <w:rFonts w:hint="eastAsia" w:ascii="仿宋" w:eastAsia="仿宋" w:cs="仿宋"/>
          <w:sz w:val="32"/>
          <w:szCs w:val="32"/>
        </w:rPr>
        <w:t>三是</w:t>
      </w:r>
      <w:r>
        <w:rPr>
          <w:rFonts w:ascii="仿宋" w:eastAsia="仿宋" w:cs="仿宋"/>
          <w:sz w:val="32"/>
          <w:szCs w:val="32"/>
        </w:rPr>
        <w:t>对沙滩河左右干渠及支渠进行了清淤，总量达12公里。</w:t>
      </w:r>
      <w:r>
        <w:rPr>
          <w:rFonts w:hint="eastAsia" w:ascii="仿宋" w:eastAsia="仿宋" w:cs="仿宋"/>
          <w:sz w:val="32"/>
          <w:szCs w:val="32"/>
        </w:rPr>
        <w:t>四是增减挂钩项目初步通过省级验收。</w:t>
      </w:r>
    </w:p>
    <w:p>
      <w:pPr>
        <w:ind w:firstLine="640" w:firstLineChars="200"/>
        <w:rPr>
          <w:rFonts w:ascii="仿宋" w:eastAsia="仿宋" w:cs="仿宋"/>
          <w:sz w:val="32"/>
          <w:szCs w:val="32"/>
        </w:rPr>
      </w:pPr>
      <w:r>
        <w:rPr>
          <w:rFonts w:hint="eastAsia" w:ascii="仿宋" w:eastAsia="仿宋" w:cs="仿宋"/>
          <w:sz w:val="32"/>
          <w:szCs w:val="32"/>
        </w:rPr>
        <w:t>2018年，我们孜孜以求、用心用情，桥湾民生更加温暖。</w:t>
      </w:r>
    </w:p>
    <w:p>
      <w:pPr>
        <w:rPr>
          <w:rFonts w:ascii="仿宋" w:eastAsia="仿宋" w:cs="仿宋"/>
          <w:sz w:val="32"/>
          <w:szCs w:val="32"/>
        </w:rPr>
      </w:pPr>
      <w:r>
        <w:rPr>
          <w:rFonts w:ascii="仿宋" w:eastAsia="仿宋" w:cs="仿宋"/>
          <w:sz w:val="32"/>
          <w:szCs w:val="32"/>
        </w:rPr>
        <w:t>桥湾镇初级中学宿舍、科技楼等二期工程已经基本完工，</w:t>
      </w:r>
      <w:r>
        <w:rPr>
          <w:rFonts w:hint="eastAsia" w:ascii="仿宋" w:eastAsia="仿宋" w:cs="仿宋"/>
          <w:sz w:val="32"/>
          <w:szCs w:val="32"/>
        </w:rPr>
        <w:t>桥湾初中新校区已经初具雏形，</w:t>
      </w:r>
      <w:r>
        <w:rPr>
          <w:rFonts w:ascii="仿宋" w:eastAsia="仿宋" w:cs="仿宋"/>
          <w:sz w:val="32"/>
          <w:szCs w:val="32"/>
        </w:rPr>
        <w:t>校园环境明显提升</w:t>
      </w:r>
      <w:r>
        <w:rPr>
          <w:rFonts w:hint="eastAsia" w:ascii="仿宋" w:eastAsia="仿宋" w:cs="仿宋"/>
          <w:sz w:val="32"/>
          <w:szCs w:val="32"/>
        </w:rPr>
        <w:t>，桥湾初中升学率已经连续18年荣登同类学校榜首</w:t>
      </w:r>
      <w:r>
        <w:rPr>
          <w:rFonts w:ascii="仿宋" w:eastAsia="仿宋" w:cs="仿宋"/>
          <w:sz w:val="32"/>
          <w:szCs w:val="32"/>
        </w:rPr>
        <w:t>。敬老院主体工程全面竣工，附属设施安装完毕。各项惠民政策落实到位，基本医疗保障覆盖率达100%，医疗救助约150人次，特困无偿送医10人次、精神病人免费送医16人次；对低保进行了清理排查，其中全年发放农村低保约96万元、城镇低保约6.5万元；临时生活救助310人，发放救助资金约5.5万元；高龄补助达607人，发放高龄补助金约18.9万元；优抚对象达397人，发放优抚金达68万余元。创建“充分再就业社区”1个，“4050”工程持续深入，全镇公益性岗位人员达35人。</w:t>
      </w:r>
    </w:p>
    <w:p>
      <w:pPr>
        <w:ind w:firstLine="640" w:firstLineChars="200"/>
        <w:rPr>
          <w:rFonts w:ascii="仿宋" w:eastAsia="仿宋" w:cs="仿宋"/>
          <w:sz w:val="32"/>
          <w:szCs w:val="32"/>
        </w:rPr>
      </w:pPr>
      <w:r>
        <w:rPr>
          <w:rFonts w:hint="eastAsia" w:ascii="仿宋" w:eastAsia="仿宋" w:cs="仿宋"/>
          <w:sz w:val="32"/>
          <w:szCs w:val="32"/>
        </w:rPr>
        <w:t>2018年，我们铁腕治污、久久为功，桥湾山水更加秀美。 环保督察反馈问题得到扎实整改，整改完成率达100%，顺利通过各级环保督察。大气、水、土壤污染防治“三大战役”成效明显，松材线虫病防控扎实开展。河（湖）长制工作全面落实。阻碍河道多年的建筑物被拆除，正街码头及周边得以重新打造。对河中漂浮物实现常态化打捞，巴河的水比以往更清了，人民群众对生态环境的获得感和满意度不断提升。</w:t>
      </w:r>
    </w:p>
    <w:p>
      <w:pPr>
        <w:pStyle w:val="3"/>
        <w:rPr>
          <w:rStyle w:val="17"/>
          <w:b w:val="0"/>
          <w:bCs w:val="0"/>
        </w:rPr>
      </w:pPr>
      <w:bookmarkStart w:id="20" w:name="_Toc15377200"/>
      <w:bookmarkStart w:id="21" w:name="_Toc15396601"/>
      <w:r>
        <w:rPr>
          <w:rFonts w:hint="eastAsia" w:ascii="黑体" w:eastAsia="黑体"/>
          <w:b w:val="0"/>
          <w:color w:val="000000"/>
        </w:rPr>
        <w:t>二、机</w:t>
      </w:r>
      <w:r>
        <w:rPr>
          <w:rStyle w:val="17"/>
          <w:rFonts w:hint="eastAsia" w:ascii="黑体" w:eastAsia="黑体"/>
          <w:b w:val="0"/>
          <w:bCs w:val="0"/>
        </w:rPr>
        <w:t>构设置</w:t>
      </w:r>
      <w:bookmarkEnd w:id="20"/>
      <w:bookmarkEnd w:id="21"/>
    </w:p>
    <w:p>
      <w:pPr>
        <w:ind w:firstLine="800" w:firstLineChars="250"/>
        <w:rPr>
          <w:rFonts w:ascii="仿宋" w:eastAsia="仿宋"/>
          <w:sz w:val="32"/>
          <w:szCs w:val="32"/>
        </w:rPr>
      </w:pPr>
      <w:r>
        <w:rPr>
          <w:rFonts w:hint="eastAsia" w:ascii="仿宋" w:eastAsia="仿宋"/>
          <w:sz w:val="32"/>
          <w:szCs w:val="32"/>
        </w:rPr>
        <w:t>桥湾镇下属二级单位5个，其中行政单位1个，其他事业单位4个，主要包括：</w:t>
      </w:r>
      <w:r>
        <w:rPr>
          <w:rFonts w:hint="eastAsia" w:ascii="仿宋" w:eastAsia="仿宋"/>
          <w:color w:val="000000"/>
          <w:sz w:val="32"/>
          <w:szCs w:val="32"/>
        </w:rPr>
        <w:t>达州市达川区桥湾镇人民政府；达州市达川区桥湾镇计划生育服务站；达州市达川区桥湾镇社会事务（服务)中心；达州市达川区桥湾镇广播电视站；达州市达川区桥湾镇船管站。</w:t>
      </w:r>
    </w:p>
    <w:p>
      <w:pPr>
        <w:widowControl/>
        <w:jc w:val="left"/>
        <w:rPr>
          <w:rFonts w:ascii="仿宋" w:eastAsia="仿宋"/>
          <w:color w:val="000000"/>
          <w:kern w:val="0"/>
          <w:sz w:val="32"/>
          <w:szCs w:val="32"/>
        </w:rPr>
      </w:pPr>
      <w:r>
        <w:rPr>
          <w:rFonts w:ascii="仿宋" w:eastAsia="仿宋"/>
          <w:color w:val="000000"/>
          <w:sz w:val="32"/>
          <w:szCs w:val="32"/>
        </w:rPr>
        <w:br w:type="page"/>
      </w:r>
    </w:p>
    <w:p>
      <w:pPr>
        <w:pStyle w:val="2"/>
        <w:ind w:right="440"/>
        <w:jc w:val="right"/>
        <w:rPr>
          <w:rStyle w:val="16"/>
          <w:rFonts w:ascii="黑体" w:eastAsia="黑体"/>
          <w:b w:val="0"/>
          <w:bCs w:val="0"/>
        </w:rPr>
      </w:pPr>
      <w:bookmarkStart w:id="22" w:name="_Toc15396602"/>
      <w:bookmarkStart w:id="23" w:name="_Toc15377204"/>
      <w:r>
        <w:rPr>
          <w:rFonts w:hint="eastAsia" w:ascii="黑体" w:eastAsia="黑体"/>
          <w:b w:val="0"/>
          <w:color w:val="000000"/>
        </w:rPr>
        <w:t>第二部分</w:t>
      </w:r>
      <w:r>
        <w:rPr>
          <w:rStyle w:val="16"/>
          <w:rFonts w:hint="eastAsia" w:ascii="黑体" w:eastAsia="黑体"/>
          <w:b w:val="0"/>
          <w:bCs w:val="0"/>
        </w:rPr>
        <w:t>2018年度部门决算情况说明</w:t>
      </w:r>
      <w:bookmarkEnd w:id="22"/>
      <w:bookmarkEnd w:id="23"/>
    </w:p>
    <w:p/>
    <w:p>
      <w:pPr>
        <w:pStyle w:val="22"/>
        <w:numPr>
          <w:ilvl w:val="0"/>
          <w:numId w:val="1"/>
        </w:numPr>
        <w:spacing w:line="600" w:lineRule="exact"/>
        <w:ind w:firstLineChars="0"/>
        <w:outlineLvl w:val="1"/>
        <w:rPr>
          <w:rStyle w:val="17"/>
          <w:rFonts w:ascii="黑体" w:eastAsia="黑体"/>
          <w:b w:val="0"/>
        </w:rPr>
      </w:pPr>
      <w:bookmarkStart w:id="24" w:name="_Toc15396603"/>
      <w:bookmarkStart w:id="25" w:name="_Toc15377205"/>
      <w:r>
        <w:rPr>
          <w:rFonts w:hint="eastAsia" w:ascii="黑体" w:eastAsia="黑体"/>
          <w:color w:val="000000"/>
          <w:sz w:val="32"/>
          <w:szCs w:val="32"/>
        </w:rPr>
        <w:t>收</w:t>
      </w:r>
      <w:r>
        <w:rPr>
          <w:rStyle w:val="17"/>
          <w:rFonts w:hint="eastAsia" w:ascii="黑体" w:eastAsia="黑体"/>
          <w:b w:val="0"/>
        </w:rPr>
        <w:t>入支出决算总体情况说明</w:t>
      </w:r>
      <w:bookmarkEnd w:id="24"/>
      <w:bookmarkEnd w:id="25"/>
    </w:p>
    <w:p>
      <w:pPr>
        <w:spacing w:line="600" w:lineRule="exact"/>
        <w:ind w:firstLine="640" w:firstLineChars="200"/>
        <w:rPr>
          <w:rFonts w:ascii="仿宋" w:eastAsia="仿宋"/>
          <w:color w:val="000000"/>
          <w:sz w:val="32"/>
          <w:szCs w:val="32"/>
        </w:rPr>
      </w:pPr>
      <w:r>
        <w:rPr>
          <w:rFonts w:hint="eastAsia" w:ascii="仿宋" w:eastAsia="仿宋"/>
          <w:color w:val="000000"/>
          <w:sz w:val="32"/>
          <w:szCs w:val="32"/>
        </w:rPr>
        <w:t>2018年度收、支总计1861.4万元。与2017年相比，收、支总计各减少196.15万元，下降9.53</w:t>
      </w:r>
      <w:r>
        <w:rPr>
          <w:rFonts w:ascii="仿宋" w:eastAsia="仿宋"/>
          <w:color w:val="000000"/>
          <w:sz w:val="32"/>
          <w:szCs w:val="32"/>
        </w:rPr>
        <w:t>%</w:t>
      </w:r>
      <w:r>
        <w:rPr>
          <w:rFonts w:hint="eastAsia" w:ascii="仿宋" w:eastAsia="仿宋"/>
          <w:color w:val="000000"/>
          <w:sz w:val="32"/>
          <w:szCs w:val="32"/>
        </w:rPr>
        <w:t>。主要变动原因是项目减少。</w:t>
      </w:r>
    </w:p>
    <w:p>
      <w:pPr>
        <w:pStyle w:val="22"/>
        <w:numPr>
          <w:ilvl w:val="0"/>
          <w:numId w:val="1"/>
        </w:numPr>
        <w:spacing w:line="600" w:lineRule="exact"/>
        <w:ind w:firstLineChars="0"/>
        <w:outlineLvl w:val="1"/>
        <w:rPr>
          <w:rStyle w:val="17"/>
          <w:rFonts w:ascii="黑体" w:eastAsia="黑体"/>
          <w:b w:val="0"/>
        </w:rPr>
      </w:pPr>
      <w:bookmarkStart w:id="26" w:name="_Toc15377206"/>
      <w:bookmarkStart w:id="27" w:name="_Toc15396604"/>
      <w:r>
        <w:rPr>
          <w:rFonts w:hint="eastAsia" w:ascii="黑体" w:eastAsia="黑体"/>
          <w:color w:val="000000"/>
          <w:sz w:val="32"/>
          <w:szCs w:val="32"/>
        </w:rPr>
        <w:t>收</w:t>
      </w:r>
      <w:r>
        <w:rPr>
          <w:rStyle w:val="17"/>
          <w:rFonts w:hint="eastAsia" w:ascii="黑体" w:eastAsia="黑体"/>
          <w:b w:val="0"/>
        </w:rPr>
        <w:t>入决算情况说明</w:t>
      </w:r>
      <w:bookmarkEnd w:id="26"/>
      <w:bookmarkEnd w:id="27"/>
    </w:p>
    <w:p>
      <w:pPr>
        <w:spacing w:line="600" w:lineRule="exact"/>
        <w:ind w:firstLine="640" w:firstLineChars="200"/>
        <w:outlineLvl w:val="1"/>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8年本年收入合计1861.4万元，其中：一般公共预算财政拨款收入1830.4万元，占98.33</w:t>
      </w:r>
      <w:r>
        <w:rPr>
          <w:rFonts w:ascii="仿宋" w:eastAsia="仿宋"/>
          <w:color w:val="000000"/>
          <w:sz w:val="32"/>
          <w:szCs w:val="32"/>
        </w:rPr>
        <w:t>%</w:t>
      </w:r>
      <w:r>
        <w:rPr>
          <w:rFonts w:hint="eastAsia" w:ascii="仿宋" w:eastAsia="仿宋"/>
          <w:color w:val="000000"/>
          <w:sz w:val="32"/>
          <w:szCs w:val="32"/>
        </w:rPr>
        <w:t>；政府性基金预算财政拨款收入31万元，占1.67</w:t>
      </w:r>
      <w:r>
        <w:rPr>
          <w:rFonts w:ascii="仿宋" w:eastAsia="仿宋"/>
          <w:color w:val="000000"/>
          <w:sz w:val="32"/>
          <w:szCs w:val="32"/>
        </w:rPr>
        <w:t>%</w:t>
      </w:r>
      <w:r>
        <w:rPr>
          <w:rFonts w:hint="eastAsia" w:ascii="仿宋" w:eastAsia="仿宋"/>
          <w:color w:val="000000"/>
          <w:sz w:val="32"/>
          <w:szCs w:val="32"/>
        </w:rPr>
        <w:t>；国有资本经营预算财政拨款收入0万元，占0</w:t>
      </w:r>
      <w:r>
        <w:rPr>
          <w:rFonts w:ascii="仿宋" w:eastAsia="仿宋"/>
          <w:color w:val="000000"/>
          <w:sz w:val="32"/>
          <w:szCs w:val="32"/>
        </w:rPr>
        <w:t>%</w:t>
      </w:r>
      <w:r>
        <w:rPr>
          <w:rFonts w:hint="eastAsia" w:ascii="仿宋" w:eastAsia="仿宋"/>
          <w:color w:val="000000"/>
          <w:sz w:val="32"/>
          <w:szCs w:val="32"/>
        </w:rPr>
        <w:t>；事业收入0万元，占0</w:t>
      </w:r>
      <w:r>
        <w:rPr>
          <w:rFonts w:ascii="仿宋" w:eastAsia="仿宋"/>
          <w:color w:val="000000"/>
          <w:sz w:val="32"/>
          <w:szCs w:val="32"/>
        </w:rPr>
        <w:t>%</w:t>
      </w:r>
      <w:r>
        <w:rPr>
          <w:rFonts w:hint="eastAsia" w:ascii="仿宋" w:eastAsia="仿宋"/>
          <w:color w:val="000000"/>
          <w:sz w:val="32"/>
          <w:szCs w:val="32"/>
        </w:rPr>
        <w:t>；经营收入0万元，占0</w:t>
      </w:r>
      <w:r>
        <w:rPr>
          <w:rFonts w:ascii="仿宋" w:eastAsia="仿宋"/>
          <w:color w:val="000000"/>
          <w:sz w:val="32"/>
          <w:szCs w:val="32"/>
        </w:rPr>
        <w:t>%</w:t>
      </w:r>
      <w:r>
        <w:rPr>
          <w:rFonts w:hint="eastAsia" w:ascii="仿宋" w:eastAsia="仿宋"/>
          <w:color w:val="000000"/>
          <w:sz w:val="32"/>
          <w:szCs w:val="32"/>
        </w:rPr>
        <w:t>；附属单位上缴收入0万元，占0</w:t>
      </w:r>
      <w:r>
        <w:rPr>
          <w:rFonts w:ascii="仿宋" w:eastAsia="仿宋"/>
          <w:color w:val="000000"/>
          <w:sz w:val="32"/>
          <w:szCs w:val="32"/>
        </w:rPr>
        <w:t>%</w:t>
      </w:r>
      <w:r>
        <w:rPr>
          <w:rFonts w:hint="eastAsia" w:ascii="仿宋" w:eastAsia="仿宋"/>
          <w:color w:val="000000"/>
          <w:sz w:val="32"/>
          <w:szCs w:val="32"/>
        </w:rPr>
        <w:t>；其他收入0万元，占0</w:t>
      </w:r>
      <w:r>
        <w:rPr>
          <w:rFonts w:ascii="仿宋" w:eastAsia="仿宋"/>
          <w:color w:val="000000"/>
          <w:sz w:val="32"/>
          <w:szCs w:val="32"/>
        </w:rPr>
        <w:t>%</w:t>
      </w:r>
      <w:r>
        <w:rPr>
          <w:rFonts w:hint="eastAsia" w:ascii="仿宋" w:eastAsia="仿宋"/>
          <w:color w:val="000000"/>
          <w:sz w:val="32"/>
          <w:szCs w:val="32"/>
        </w:rPr>
        <w:t>。</w:t>
      </w:r>
    </w:p>
    <w:p>
      <w:pPr>
        <w:pStyle w:val="22"/>
        <w:spacing w:line="600" w:lineRule="exact"/>
        <w:outlineLvl w:val="1"/>
        <w:rPr>
          <w:rStyle w:val="17"/>
          <w:rFonts w:ascii="黑体" w:eastAsia="黑体"/>
          <w:b w:val="0"/>
        </w:rPr>
      </w:pPr>
      <w:bookmarkStart w:id="28" w:name="_Toc15396605"/>
      <w:bookmarkStart w:id="29" w:name="_Toc15377207"/>
      <w:r>
        <w:rPr>
          <w:rFonts w:hint="eastAsia" w:ascii="黑体" w:eastAsia="黑体"/>
          <w:color w:val="000000"/>
          <w:sz w:val="32"/>
          <w:szCs w:val="32"/>
        </w:rPr>
        <w:t>三、支</w:t>
      </w:r>
      <w:r>
        <w:rPr>
          <w:rStyle w:val="17"/>
          <w:rFonts w:hint="eastAsia" w:ascii="黑体" w:eastAsia="黑体"/>
          <w:b w:val="0"/>
        </w:rPr>
        <w:t>出决算情况说明</w:t>
      </w:r>
      <w:bookmarkEnd w:id="28"/>
      <w:bookmarkEnd w:id="29"/>
    </w:p>
    <w:p>
      <w:pPr>
        <w:spacing w:line="600" w:lineRule="exact"/>
        <w:ind w:firstLine="640"/>
        <w:rPr>
          <w:rFonts w:ascii="仿宋_GB2312" w:eastAsia="仿宋_GB2312"/>
          <w:color w:val="FF0000"/>
          <w:sz w:val="32"/>
          <w:szCs w:val="32"/>
        </w:rPr>
      </w:pPr>
      <w:r>
        <w:rPr>
          <w:rFonts w:ascii="仿宋" w:eastAsia="仿宋"/>
          <w:color w:val="000000"/>
          <w:sz w:val="32"/>
          <w:szCs w:val="32"/>
        </w:rPr>
        <w:t>201</w:t>
      </w:r>
      <w:r>
        <w:rPr>
          <w:rFonts w:hint="eastAsia" w:ascii="仿宋" w:eastAsia="仿宋"/>
          <w:color w:val="000000"/>
          <w:sz w:val="32"/>
          <w:szCs w:val="32"/>
        </w:rPr>
        <w:t>8年本年支出合计1861.4万元，其中：基本支出1414.66万元，占76</w:t>
      </w:r>
      <w:r>
        <w:rPr>
          <w:rFonts w:ascii="仿宋" w:eastAsia="仿宋"/>
          <w:color w:val="000000"/>
          <w:sz w:val="32"/>
          <w:szCs w:val="32"/>
        </w:rPr>
        <w:t>%</w:t>
      </w:r>
      <w:r>
        <w:rPr>
          <w:rFonts w:hint="eastAsia" w:ascii="仿宋" w:eastAsia="仿宋"/>
          <w:color w:val="000000"/>
          <w:sz w:val="32"/>
          <w:szCs w:val="32"/>
        </w:rPr>
        <w:t>；项目支出446.74万元，占24</w:t>
      </w:r>
      <w:r>
        <w:rPr>
          <w:rFonts w:ascii="仿宋" w:eastAsia="仿宋"/>
          <w:color w:val="000000"/>
          <w:sz w:val="32"/>
          <w:szCs w:val="32"/>
        </w:rPr>
        <w:t>%</w:t>
      </w:r>
      <w:r>
        <w:rPr>
          <w:rFonts w:hint="eastAsia" w:ascii="仿宋" w:eastAsia="仿宋"/>
          <w:color w:val="000000"/>
          <w:sz w:val="32"/>
          <w:szCs w:val="32"/>
        </w:rPr>
        <w:t>；上缴上级支出0万元，占0</w:t>
      </w:r>
      <w:r>
        <w:rPr>
          <w:rFonts w:ascii="仿宋" w:eastAsia="仿宋"/>
          <w:color w:val="000000"/>
          <w:sz w:val="32"/>
          <w:szCs w:val="32"/>
        </w:rPr>
        <w:t>%</w:t>
      </w:r>
      <w:r>
        <w:rPr>
          <w:rFonts w:hint="eastAsia" w:ascii="仿宋" w:eastAsia="仿宋"/>
          <w:color w:val="000000"/>
          <w:sz w:val="32"/>
          <w:szCs w:val="32"/>
        </w:rPr>
        <w:t>；经营支出0万元，占0</w:t>
      </w:r>
      <w:r>
        <w:rPr>
          <w:rFonts w:ascii="仿宋" w:eastAsia="仿宋"/>
          <w:color w:val="000000"/>
          <w:sz w:val="32"/>
          <w:szCs w:val="32"/>
        </w:rPr>
        <w:t>%</w:t>
      </w:r>
      <w:r>
        <w:rPr>
          <w:rFonts w:hint="eastAsia" w:ascii="仿宋" w:eastAsia="仿宋"/>
          <w:color w:val="000000"/>
          <w:sz w:val="32"/>
          <w:szCs w:val="32"/>
        </w:rPr>
        <w:t>；对附属单位补助支出0万元，占0</w:t>
      </w:r>
      <w:r>
        <w:rPr>
          <w:rFonts w:ascii="仿宋" w:eastAsia="仿宋"/>
          <w:color w:val="000000"/>
          <w:sz w:val="32"/>
          <w:szCs w:val="32"/>
        </w:rPr>
        <w:t>%</w:t>
      </w:r>
      <w:r>
        <w:rPr>
          <w:rFonts w:hint="eastAsia" w:ascii="仿宋" w:eastAsia="仿宋"/>
          <w:color w:val="000000"/>
          <w:sz w:val="32"/>
          <w:szCs w:val="32"/>
        </w:rPr>
        <w:t>。</w:t>
      </w:r>
    </w:p>
    <w:p>
      <w:pPr>
        <w:spacing w:line="600" w:lineRule="exact"/>
        <w:ind w:firstLine="640" w:firstLineChars="200"/>
        <w:outlineLvl w:val="1"/>
        <w:rPr>
          <w:rStyle w:val="17"/>
          <w:rFonts w:ascii="黑体" w:eastAsia="黑体"/>
          <w:b w:val="0"/>
        </w:rPr>
      </w:pPr>
      <w:bookmarkStart w:id="30" w:name="_Toc15396606"/>
      <w:bookmarkStart w:id="31" w:name="_Toc15377208"/>
      <w:r>
        <w:rPr>
          <w:rFonts w:hint="eastAsia" w:ascii="黑体" w:eastAsia="黑体"/>
          <w:color w:val="000000"/>
          <w:sz w:val="32"/>
          <w:szCs w:val="32"/>
        </w:rPr>
        <w:t>四、财</w:t>
      </w:r>
      <w:r>
        <w:rPr>
          <w:rStyle w:val="17"/>
          <w:rFonts w:hint="eastAsia" w:ascii="黑体" w:eastAsia="黑体"/>
          <w:b w:val="0"/>
        </w:rPr>
        <w:t>政拨款收入支出决算总体情况说明</w:t>
      </w:r>
      <w:bookmarkEnd w:id="30"/>
      <w:bookmarkEnd w:id="31"/>
    </w:p>
    <w:p>
      <w:pPr>
        <w:spacing w:line="600" w:lineRule="exact"/>
        <w:ind w:firstLine="640" w:firstLineChars="200"/>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8年财政拨款收、支总计1861.4万元。与</w:t>
      </w:r>
      <w:r>
        <w:rPr>
          <w:rFonts w:ascii="仿宋" w:eastAsia="仿宋"/>
          <w:color w:val="000000"/>
          <w:sz w:val="32"/>
          <w:szCs w:val="32"/>
        </w:rPr>
        <w:t>201</w:t>
      </w:r>
      <w:r>
        <w:rPr>
          <w:rFonts w:hint="eastAsia" w:ascii="仿宋" w:eastAsia="仿宋"/>
          <w:color w:val="000000"/>
          <w:sz w:val="32"/>
          <w:szCs w:val="32"/>
        </w:rPr>
        <w:t>7年相比，财政拨款收、支总计各减少196.15万元，下降9.53</w:t>
      </w:r>
      <w:r>
        <w:rPr>
          <w:rFonts w:ascii="仿宋" w:eastAsia="仿宋"/>
          <w:color w:val="000000"/>
          <w:sz w:val="32"/>
          <w:szCs w:val="32"/>
        </w:rPr>
        <w:t>%</w:t>
      </w:r>
      <w:r>
        <w:rPr>
          <w:rFonts w:hint="eastAsia" w:ascii="仿宋" w:eastAsia="仿宋"/>
          <w:color w:val="000000"/>
          <w:sz w:val="32"/>
          <w:szCs w:val="32"/>
        </w:rPr>
        <w:t>。主要变动原因是项目减少。</w:t>
      </w:r>
    </w:p>
    <w:p>
      <w:pPr>
        <w:spacing w:line="600" w:lineRule="exact"/>
        <w:ind w:firstLine="640" w:firstLineChars="200"/>
        <w:outlineLvl w:val="1"/>
        <w:rPr>
          <w:rStyle w:val="17"/>
          <w:rFonts w:ascii="黑体" w:eastAsia="黑体"/>
          <w:b w:val="0"/>
        </w:rPr>
      </w:pPr>
      <w:bookmarkStart w:id="32" w:name="_Toc15396607"/>
      <w:bookmarkStart w:id="33" w:name="_Toc15377209"/>
      <w:r>
        <w:rPr>
          <w:rFonts w:hint="eastAsia" w:ascii="黑体" w:eastAsia="黑体"/>
          <w:color w:val="000000"/>
          <w:sz w:val="32"/>
          <w:szCs w:val="32"/>
        </w:rPr>
        <w:t>五、</w:t>
      </w:r>
      <w:r>
        <w:rPr>
          <w:rFonts w:hint="eastAsia" w:ascii="黑体" w:eastAsia="黑体"/>
          <w:b/>
          <w:color w:val="000000"/>
          <w:sz w:val="32"/>
          <w:szCs w:val="32"/>
        </w:rPr>
        <w:t>一</w:t>
      </w:r>
      <w:r>
        <w:rPr>
          <w:rStyle w:val="17"/>
          <w:rFonts w:hint="eastAsia" w:ascii="黑体" w:eastAsia="黑体"/>
          <w:b w:val="0"/>
        </w:rPr>
        <w:t>般公共预算财政拨款支出决算情况说明</w:t>
      </w:r>
      <w:bookmarkEnd w:id="32"/>
      <w:bookmarkEnd w:id="33"/>
    </w:p>
    <w:p>
      <w:pPr>
        <w:spacing w:line="600" w:lineRule="exact"/>
        <w:ind w:firstLine="643" w:firstLineChars="200"/>
        <w:outlineLvl w:val="2"/>
        <w:rPr>
          <w:rFonts w:ascii="仿宋" w:eastAsia="仿宋"/>
          <w:b/>
          <w:color w:val="000000"/>
          <w:sz w:val="32"/>
          <w:szCs w:val="32"/>
        </w:rPr>
      </w:pPr>
      <w:bookmarkStart w:id="34" w:name="_Toc15377210"/>
      <w:r>
        <w:rPr>
          <w:rFonts w:hint="eastAsia" w:ascii="仿宋" w:eastAsia="仿宋"/>
          <w:b/>
          <w:color w:val="000000"/>
          <w:sz w:val="32"/>
          <w:szCs w:val="32"/>
        </w:rPr>
        <w:t>（一）一般公共预算财政拨款支出决算总体情况</w:t>
      </w:r>
      <w:bookmarkEnd w:id="34"/>
    </w:p>
    <w:p>
      <w:pPr>
        <w:spacing w:line="600" w:lineRule="exact"/>
        <w:ind w:firstLine="640" w:firstLineChars="200"/>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8年一般公共预算财政拨款支出1830.4万元，占本年支出合计的98</w:t>
      </w:r>
      <w:r>
        <w:rPr>
          <w:rFonts w:ascii="仿宋" w:eastAsia="仿宋"/>
          <w:color w:val="000000"/>
          <w:sz w:val="32"/>
          <w:szCs w:val="32"/>
        </w:rPr>
        <w:t>%</w:t>
      </w:r>
      <w:r>
        <w:rPr>
          <w:rFonts w:hint="eastAsia" w:ascii="仿宋" w:eastAsia="仿宋"/>
          <w:color w:val="000000"/>
          <w:sz w:val="32"/>
          <w:szCs w:val="32"/>
        </w:rPr>
        <w:t>。与</w:t>
      </w:r>
      <w:r>
        <w:rPr>
          <w:rFonts w:ascii="仿宋" w:eastAsia="仿宋"/>
          <w:color w:val="000000"/>
          <w:sz w:val="32"/>
          <w:szCs w:val="32"/>
        </w:rPr>
        <w:t>201</w:t>
      </w:r>
      <w:r>
        <w:rPr>
          <w:rFonts w:hint="eastAsia" w:ascii="仿宋" w:eastAsia="仿宋"/>
          <w:color w:val="000000"/>
          <w:sz w:val="32"/>
          <w:szCs w:val="32"/>
        </w:rPr>
        <w:t>7年相比，一般公共预算财政拨款减少134.15万元，下降6.83</w:t>
      </w:r>
      <w:r>
        <w:rPr>
          <w:rFonts w:ascii="仿宋" w:eastAsia="仿宋"/>
          <w:color w:val="000000"/>
          <w:sz w:val="32"/>
          <w:szCs w:val="32"/>
        </w:rPr>
        <w:t>%</w:t>
      </w:r>
      <w:r>
        <w:rPr>
          <w:rFonts w:hint="eastAsia" w:ascii="仿宋" w:eastAsia="仿宋"/>
          <w:color w:val="000000"/>
          <w:sz w:val="32"/>
          <w:szCs w:val="32"/>
        </w:rPr>
        <w:t>。主要变动原因是项目减少。</w:t>
      </w:r>
    </w:p>
    <w:p>
      <w:pPr>
        <w:spacing w:line="600" w:lineRule="exact"/>
        <w:ind w:firstLine="643" w:firstLineChars="200"/>
        <w:outlineLvl w:val="2"/>
        <w:rPr>
          <w:rFonts w:ascii="仿宋" w:eastAsia="仿宋"/>
          <w:b/>
          <w:color w:val="000000"/>
          <w:sz w:val="32"/>
          <w:szCs w:val="32"/>
        </w:rPr>
      </w:pPr>
      <w:bookmarkStart w:id="35" w:name="_Toc15377211"/>
      <w:r>
        <w:rPr>
          <w:rFonts w:hint="eastAsia" w:ascii="仿宋" w:eastAsia="仿宋"/>
          <w:b/>
          <w:color w:val="000000"/>
          <w:sz w:val="32"/>
          <w:szCs w:val="32"/>
        </w:rPr>
        <w:t>（二）一般公共预算财政拨款支出决算结构情况</w:t>
      </w:r>
      <w:bookmarkEnd w:id="35"/>
    </w:p>
    <w:p>
      <w:pPr>
        <w:spacing w:line="600" w:lineRule="exact"/>
        <w:ind w:firstLine="640"/>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8年一般公共预算财政拨款支出1830.4万元，主要用于以下方面</w:t>
      </w:r>
      <w:r>
        <w:rPr>
          <w:rFonts w:ascii="仿宋" w:eastAsia="仿宋"/>
          <w:color w:val="000000"/>
          <w:sz w:val="32"/>
          <w:szCs w:val="32"/>
        </w:rPr>
        <w:t>:</w:t>
      </w:r>
      <w:r>
        <w:rPr>
          <w:rFonts w:hint="eastAsia" w:ascii="仿宋" w:eastAsia="仿宋"/>
          <w:color w:val="000000"/>
          <w:sz w:val="32"/>
          <w:szCs w:val="32"/>
        </w:rPr>
        <w:t>一般公共服务（类）支出512.15万元，占27.98</w:t>
      </w:r>
      <w:r>
        <w:rPr>
          <w:rFonts w:ascii="仿宋" w:eastAsia="仿宋"/>
          <w:color w:val="000000"/>
          <w:sz w:val="32"/>
          <w:szCs w:val="32"/>
        </w:rPr>
        <w:t>%</w:t>
      </w:r>
      <w:r>
        <w:rPr>
          <w:rFonts w:hint="eastAsia" w:ascii="仿宋" w:eastAsia="仿宋"/>
          <w:color w:val="000000"/>
          <w:sz w:val="32"/>
          <w:szCs w:val="32"/>
        </w:rPr>
        <w:t>；社会保障和就业（类）支出496.07万元，占27.1</w:t>
      </w:r>
      <w:r>
        <w:rPr>
          <w:rFonts w:ascii="仿宋" w:eastAsia="仿宋"/>
          <w:color w:val="000000"/>
          <w:sz w:val="32"/>
          <w:szCs w:val="32"/>
        </w:rPr>
        <w:t>%</w:t>
      </w:r>
      <w:r>
        <w:rPr>
          <w:rFonts w:hint="eastAsia" w:ascii="仿宋" w:eastAsia="仿宋"/>
          <w:color w:val="000000"/>
          <w:sz w:val="32"/>
          <w:szCs w:val="32"/>
        </w:rPr>
        <w:t>；医疗卫生支出40.33万元，占2.2</w:t>
      </w:r>
      <w:r>
        <w:rPr>
          <w:rFonts w:ascii="仿宋" w:eastAsia="仿宋"/>
          <w:color w:val="000000"/>
          <w:sz w:val="32"/>
          <w:szCs w:val="32"/>
        </w:rPr>
        <w:t>%</w:t>
      </w:r>
      <w:r>
        <w:rPr>
          <w:rFonts w:hint="eastAsia" w:ascii="仿宋" w:eastAsia="仿宋"/>
          <w:color w:val="000000"/>
          <w:sz w:val="32"/>
          <w:szCs w:val="32"/>
        </w:rPr>
        <w:t>；住房保障支出24.68万元，占1.35</w:t>
      </w:r>
      <w:r>
        <w:rPr>
          <w:rFonts w:ascii="仿宋" w:eastAsia="仿宋"/>
          <w:color w:val="000000"/>
          <w:sz w:val="32"/>
          <w:szCs w:val="32"/>
        </w:rPr>
        <w:t>%</w:t>
      </w:r>
      <w:r>
        <w:rPr>
          <w:rFonts w:hint="eastAsia" w:ascii="仿宋" w:eastAsia="仿宋"/>
          <w:color w:val="000000"/>
          <w:sz w:val="32"/>
          <w:szCs w:val="32"/>
        </w:rPr>
        <w:t>；文化体育与传媒支出38.93万元，占2.12</w:t>
      </w:r>
      <w:r>
        <w:rPr>
          <w:rFonts w:ascii="仿宋" w:eastAsia="仿宋"/>
          <w:color w:val="000000"/>
          <w:sz w:val="32"/>
          <w:szCs w:val="32"/>
        </w:rPr>
        <w:t>%</w:t>
      </w:r>
      <w:r>
        <w:rPr>
          <w:rFonts w:hint="eastAsia" w:ascii="仿宋" w:eastAsia="仿宋"/>
          <w:color w:val="000000"/>
          <w:sz w:val="32"/>
          <w:szCs w:val="32"/>
        </w:rPr>
        <w:t>；城镇社区支出51.21万元，占2.8</w:t>
      </w:r>
      <w:r>
        <w:rPr>
          <w:rFonts w:ascii="仿宋" w:eastAsia="仿宋"/>
          <w:color w:val="000000"/>
          <w:sz w:val="32"/>
          <w:szCs w:val="32"/>
        </w:rPr>
        <w:t>%</w:t>
      </w:r>
      <w:r>
        <w:rPr>
          <w:rFonts w:hint="eastAsia" w:ascii="仿宋" w:eastAsia="仿宋"/>
          <w:color w:val="000000"/>
          <w:sz w:val="32"/>
          <w:szCs w:val="32"/>
        </w:rPr>
        <w:t>；农林水支出643.36万元，占35.15</w:t>
      </w:r>
      <w:r>
        <w:rPr>
          <w:rFonts w:ascii="仿宋" w:eastAsia="仿宋"/>
          <w:color w:val="000000"/>
          <w:sz w:val="32"/>
          <w:szCs w:val="32"/>
        </w:rPr>
        <w:t>%</w:t>
      </w:r>
      <w:r>
        <w:rPr>
          <w:rFonts w:hint="eastAsia" w:ascii="仿宋" w:eastAsia="仿宋"/>
          <w:color w:val="000000"/>
          <w:sz w:val="32"/>
          <w:szCs w:val="32"/>
        </w:rPr>
        <w:t>；交通运输支出23.67万元，占1.3</w:t>
      </w:r>
      <w:r>
        <w:rPr>
          <w:rFonts w:ascii="仿宋" w:eastAsia="仿宋"/>
          <w:color w:val="000000"/>
          <w:sz w:val="32"/>
          <w:szCs w:val="32"/>
        </w:rPr>
        <w:t>%</w:t>
      </w:r>
      <w:r>
        <w:rPr>
          <w:rFonts w:hint="eastAsia" w:ascii="仿宋" w:eastAsia="仿宋"/>
          <w:color w:val="000000"/>
          <w:sz w:val="32"/>
          <w:szCs w:val="32"/>
        </w:rPr>
        <w:t>。</w:t>
      </w:r>
    </w:p>
    <w:p>
      <w:pPr>
        <w:spacing w:line="600" w:lineRule="exact"/>
        <w:ind w:firstLine="643" w:firstLineChars="200"/>
        <w:outlineLvl w:val="2"/>
        <w:rPr>
          <w:rFonts w:ascii="仿宋" w:eastAsia="仿宋"/>
          <w:b/>
          <w:color w:val="000000"/>
          <w:sz w:val="32"/>
          <w:szCs w:val="32"/>
        </w:rPr>
      </w:pPr>
      <w:bookmarkStart w:id="36" w:name="_Toc15377212"/>
      <w:r>
        <w:rPr>
          <w:rFonts w:hint="eastAsia" w:asci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eastAsia="仿宋"/>
          <w:color w:val="FF0000"/>
          <w:sz w:val="32"/>
          <w:szCs w:val="32"/>
        </w:rPr>
      </w:pPr>
      <w:bookmarkStart w:id="37" w:name="_Toc15377213"/>
      <w:bookmarkStart w:id="38" w:name="_Toc15378460"/>
      <w:bookmarkStart w:id="39" w:name="_Toc15377444"/>
      <w:r>
        <w:rPr>
          <w:rFonts w:hint="eastAsia" w:ascii="仿宋" w:eastAsia="仿宋"/>
          <w:b/>
          <w:color w:val="000000"/>
          <w:sz w:val="32"/>
          <w:szCs w:val="32"/>
        </w:rPr>
        <w:t>2018年一般公共预算支出决算数为1830.4万元</w:t>
      </w:r>
      <w:r>
        <w:rPr>
          <w:rFonts w:hint="eastAsia" w:ascii="仿宋" w:eastAsia="仿宋"/>
          <w:color w:val="000000"/>
          <w:sz w:val="32"/>
          <w:szCs w:val="32"/>
        </w:rPr>
        <w:t>，</w:t>
      </w:r>
      <w:r>
        <w:rPr>
          <w:rStyle w:val="14"/>
          <w:rFonts w:hint="eastAsia" w:ascii="仿宋" w:eastAsia="仿宋"/>
          <w:bCs/>
          <w:color w:val="000000"/>
          <w:sz w:val="32"/>
          <w:szCs w:val="32"/>
        </w:rPr>
        <w:t>完成预算100</w:t>
      </w:r>
      <w:r>
        <w:rPr>
          <w:rStyle w:val="14"/>
          <w:rFonts w:ascii="仿宋" w:eastAsia="仿宋"/>
          <w:bCs/>
          <w:color w:val="000000"/>
          <w:sz w:val="32"/>
          <w:szCs w:val="32"/>
        </w:rPr>
        <w:t>%</w:t>
      </w:r>
      <w:r>
        <w:rPr>
          <w:rStyle w:val="14"/>
          <w:rFonts w:hint="eastAsia" w:ascii="仿宋" w:eastAsia="仿宋"/>
          <w:bCs/>
          <w:color w:val="000000"/>
          <w:sz w:val="32"/>
          <w:szCs w:val="32"/>
        </w:rPr>
        <w:t>。其中：</w:t>
      </w:r>
      <w:bookmarkEnd w:id="37"/>
      <w:bookmarkEnd w:id="38"/>
      <w:bookmarkEnd w:id="39"/>
    </w:p>
    <w:p>
      <w:pPr>
        <w:spacing w:line="600" w:lineRule="exact"/>
        <w:ind w:firstLine="643" w:firstLineChars="200"/>
        <w:rPr>
          <w:rStyle w:val="14"/>
          <w:rFonts w:ascii="仿宋" w:eastAsia="仿宋"/>
          <w:b w:val="0"/>
          <w:bCs/>
          <w:color w:val="000000"/>
          <w:sz w:val="32"/>
          <w:szCs w:val="32"/>
        </w:rPr>
      </w:pPr>
      <w:r>
        <w:rPr>
          <w:rStyle w:val="14"/>
          <w:rFonts w:ascii="仿宋" w:eastAsia="仿宋"/>
          <w:bCs/>
          <w:color w:val="000000"/>
          <w:sz w:val="32"/>
          <w:szCs w:val="32"/>
        </w:rPr>
        <w:t>1.</w:t>
      </w:r>
      <w:r>
        <w:rPr>
          <w:rStyle w:val="14"/>
          <w:rFonts w:hint="eastAsia" w:ascii="仿宋" w:eastAsia="仿宋"/>
          <w:bCs/>
          <w:color w:val="000000"/>
          <w:sz w:val="32"/>
          <w:szCs w:val="32"/>
        </w:rPr>
        <w:t>一般公共服务支出512.15万元</w:t>
      </w:r>
      <w:r>
        <w:rPr>
          <w:rStyle w:val="14"/>
          <w:rFonts w:hint="eastAsia" w:ascii="仿宋" w:eastAsia="仿宋"/>
          <w:b w:val="0"/>
          <w:bCs/>
          <w:color w:val="000000"/>
          <w:sz w:val="32"/>
          <w:szCs w:val="32"/>
        </w:rPr>
        <w:t>：政府办公厅（室）及相关机构事务——行政运行支出决算数为394.79万元；政府办公厅（室）及相关机构事务——一般行政管理事务支出决算数为83.76万元；财政事务——行政运行支出决算数为30.6万元；纪检监察事务——其他纪检监察事务支出决算数为3万元。完成预算100%，决算数等于预算数。</w:t>
      </w:r>
    </w:p>
    <w:p>
      <w:pPr>
        <w:spacing w:line="600" w:lineRule="exact"/>
        <w:ind w:firstLine="643" w:firstLineChars="200"/>
        <w:rPr>
          <w:rStyle w:val="14"/>
          <w:rFonts w:ascii="仿宋" w:eastAsia="仿宋"/>
          <w:b w:val="0"/>
          <w:bCs/>
          <w:color w:val="000000"/>
          <w:sz w:val="32"/>
          <w:szCs w:val="32"/>
        </w:rPr>
      </w:pPr>
      <w:r>
        <w:rPr>
          <w:rStyle w:val="14"/>
          <w:rFonts w:hint="eastAsia" w:ascii="仿宋" w:eastAsia="仿宋"/>
          <w:bCs/>
          <w:color w:val="000000"/>
          <w:sz w:val="32"/>
          <w:szCs w:val="32"/>
        </w:rPr>
        <w:t>2</w:t>
      </w:r>
      <w:r>
        <w:rPr>
          <w:rStyle w:val="14"/>
          <w:rFonts w:ascii="仿宋" w:eastAsia="仿宋"/>
          <w:bCs/>
          <w:color w:val="000000"/>
          <w:sz w:val="32"/>
          <w:szCs w:val="32"/>
        </w:rPr>
        <w:t>.</w:t>
      </w:r>
      <w:r>
        <w:rPr>
          <w:rStyle w:val="14"/>
          <w:rFonts w:hint="eastAsia" w:ascii="仿宋" w:eastAsia="仿宋"/>
          <w:bCs/>
          <w:color w:val="000000"/>
          <w:sz w:val="32"/>
          <w:szCs w:val="32"/>
        </w:rPr>
        <w:t>文化体育与传媒支出38.93万元：</w:t>
      </w:r>
      <w:r>
        <w:rPr>
          <w:rStyle w:val="14"/>
          <w:rFonts w:hint="eastAsia" w:ascii="仿宋" w:eastAsia="仿宋"/>
          <w:b w:val="0"/>
          <w:bCs/>
          <w:color w:val="000000"/>
          <w:sz w:val="32"/>
          <w:szCs w:val="32"/>
        </w:rPr>
        <w:t>文化——群众文化支出决算数为7.8万元: 文化——其他文化支出决算数为8.3万元；新闻出版广播影视——广播支出决算数为22.83万元.完成预算100%，决算数等于预算数。</w:t>
      </w:r>
    </w:p>
    <w:p>
      <w:pPr>
        <w:spacing w:line="600" w:lineRule="exact"/>
        <w:ind w:firstLine="643" w:firstLineChars="200"/>
        <w:rPr>
          <w:rFonts w:ascii="仿宋" w:eastAsia="仿宋"/>
          <w:b/>
          <w:color w:val="000000"/>
          <w:sz w:val="32"/>
          <w:szCs w:val="32"/>
        </w:rPr>
      </w:pPr>
      <w:r>
        <w:rPr>
          <w:rStyle w:val="14"/>
          <w:rFonts w:hint="eastAsia" w:ascii="仿宋" w:eastAsia="仿宋"/>
          <w:bCs/>
          <w:color w:val="000000"/>
          <w:sz w:val="32"/>
          <w:szCs w:val="32"/>
        </w:rPr>
        <w:t>3</w:t>
      </w:r>
      <w:r>
        <w:rPr>
          <w:rStyle w:val="14"/>
          <w:rFonts w:ascii="仿宋" w:eastAsia="仿宋"/>
          <w:bCs/>
          <w:color w:val="000000"/>
          <w:sz w:val="32"/>
          <w:szCs w:val="32"/>
        </w:rPr>
        <w:t>.</w:t>
      </w:r>
      <w:r>
        <w:rPr>
          <w:rStyle w:val="14"/>
          <w:rFonts w:hint="eastAsia" w:ascii="仿宋" w:eastAsia="仿宋"/>
          <w:bCs/>
          <w:color w:val="000000"/>
          <w:sz w:val="32"/>
          <w:szCs w:val="32"/>
        </w:rPr>
        <w:t>社会保障和就业支出496.07万元</w:t>
      </w:r>
      <w:r>
        <w:rPr>
          <w:rStyle w:val="14"/>
          <w:rFonts w:ascii="仿宋" w:eastAsia="仿宋"/>
          <w:bCs/>
          <w:color w:val="000000"/>
          <w:sz w:val="32"/>
          <w:szCs w:val="32"/>
        </w:rPr>
        <w:t>:</w:t>
      </w:r>
      <w:r>
        <w:rPr>
          <w:rStyle w:val="14"/>
          <w:rFonts w:hint="eastAsia" w:ascii="仿宋" w:eastAsia="仿宋"/>
          <w:b w:val="0"/>
          <w:bCs/>
          <w:color w:val="000000"/>
          <w:sz w:val="32"/>
          <w:szCs w:val="32"/>
        </w:rPr>
        <w:t>行政事业单位离退休——机关事业单位基本养老保险缴费支出决算数为42.19万元；行政事业单位离退休——机关事业单位职业年金缴费支出决算数为1.71万元；抚恤——在镇复员、退伍军人生活补助支出决算数为303.59万元，抚恤——义务兵优待支出决算数为32.4万元；残疾人事业—— 其他残疾人事业支出决算数为2.35万元；特困人员救助供养——农村特困人员救助供养支出决算数为113.83万元，支出完成预算100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，决算数等于预算数。</w:t>
      </w:r>
    </w:p>
    <w:p>
      <w:pPr>
        <w:spacing w:line="600" w:lineRule="exact"/>
        <w:ind w:firstLine="643" w:firstLineChars="200"/>
        <w:rPr>
          <w:rFonts w:ascii="仿宋" w:eastAsia="仿宋"/>
          <w:b/>
          <w:color w:val="000000"/>
          <w:sz w:val="32"/>
          <w:szCs w:val="32"/>
        </w:rPr>
      </w:pPr>
      <w:r>
        <w:rPr>
          <w:rStyle w:val="14"/>
          <w:rFonts w:hint="eastAsia" w:ascii="仿宋" w:eastAsia="仿宋"/>
          <w:bCs/>
          <w:color w:val="000000"/>
          <w:sz w:val="32"/>
          <w:szCs w:val="32"/>
        </w:rPr>
        <w:t>4</w:t>
      </w:r>
      <w:r>
        <w:rPr>
          <w:rStyle w:val="14"/>
          <w:rFonts w:ascii="仿宋" w:eastAsia="仿宋"/>
          <w:bCs/>
          <w:color w:val="000000"/>
          <w:sz w:val="32"/>
          <w:szCs w:val="32"/>
        </w:rPr>
        <w:t>.</w:t>
      </w:r>
      <w:r>
        <w:rPr>
          <w:rStyle w:val="14"/>
          <w:rFonts w:hint="eastAsia" w:ascii="仿宋" w:eastAsia="仿宋"/>
          <w:bCs/>
          <w:color w:val="000000"/>
          <w:sz w:val="32"/>
          <w:szCs w:val="32"/>
        </w:rPr>
        <w:t>医疗卫生与计划生育支出40.33万元</w:t>
      </w:r>
      <w:r>
        <w:rPr>
          <w:rStyle w:val="14"/>
          <w:rFonts w:ascii="仿宋" w:eastAsia="仿宋"/>
          <w:bCs/>
          <w:color w:val="000000"/>
          <w:sz w:val="32"/>
          <w:szCs w:val="32"/>
        </w:rPr>
        <w:t>:</w:t>
      </w:r>
      <w:r>
        <w:rPr>
          <w:rStyle w:val="14"/>
          <w:rFonts w:hint="eastAsia" w:ascii="仿宋" w:eastAsia="仿宋"/>
          <w:b w:val="0"/>
          <w:bCs/>
          <w:color w:val="000000"/>
          <w:sz w:val="32"/>
          <w:szCs w:val="32"/>
        </w:rPr>
        <w:t>计划生育事务</w:t>
      </w:r>
      <w:r>
        <w:rPr>
          <w:rStyle w:val="14"/>
          <w:rFonts w:hint="eastAsia" w:ascii="仿宋" w:eastAsia="仿宋"/>
          <w:bCs/>
          <w:color w:val="000000"/>
          <w:sz w:val="32"/>
          <w:szCs w:val="32"/>
        </w:rPr>
        <w:t>——</w:t>
      </w:r>
      <w:r>
        <w:rPr>
          <w:rStyle w:val="14"/>
          <w:rFonts w:hint="eastAsia" w:ascii="仿宋" w:eastAsia="仿宋"/>
          <w:b w:val="0"/>
          <w:bCs/>
          <w:color w:val="000000"/>
          <w:sz w:val="32"/>
          <w:szCs w:val="32"/>
        </w:rPr>
        <w:t>计划生育机构支出决算数为23.22万元，行政事业单位医疗——行政单位医疗支出决算数为11.4万元，行政事业单位医疗——事业单位医疗支出决算数为5.57万元，行政事业单位医疗——公务员医疗补助支出决算数为0.14万元，完成预算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，决算数等于预算数。</w:t>
      </w:r>
    </w:p>
    <w:p>
      <w:pPr>
        <w:spacing w:line="600" w:lineRule="exact"/>
        <w:ind w:firstLine="640"/>
        <w:rPr>
          <w:rStyle w:val="14"/>
          <w:rFonts w:ascii="仿宋" w:eastAsia="仿宋"/>
          <w:b w:val="0"/>
          <w:bCs/>
          <w:color w:val="000000"/>
          <w:sz w:val="32"/>
          <w:szCs w:val="32"/>
        </w:rPr>
      </w:pPr>
      <w:r>
        <w:rPr>
          <w:rFonts w:hint="eastAsia" w:ascii="仿宋" w:eastAsia="仿宋"/>
          <w:b/>
          <w:color w:val="000000"/>
          <w:sz w:val="32"/>
          <w:szCs w:val="32"/>
        </w:rPr>
        <w:t>5.城镇社区支出51.21万元：</w:t>
      </w:r>
      <w:r>
        <w:rPr>
          <w:rStyle w:val="14"/>
          <w:rFonts w:hint="eastAsia" w:ascii="仿宋" w:eastAsia="仿宋"/>
          <w:b w:val="0"/>
          <w:bCs/>
          <w:color w:val="000000"/>
          <w:sz w:val="32"/>
          <w:szCs w:val="32"/>
        </w:rPr>
        <w:t>城镇社区公共设施——  小城镇基础设施建设支出决算数为25万元，其他城镇社区支出——其他城镇社区支出决算数为26.21万元；完成预算100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，决算数等于预算数。</w:t>
      </w:r>
    </w:p>
    <w:p>
      <w:pPr>
        <w:spacing w:line="600" w:lineRule="exact"/>
        <w:ind w:firstLine="640"/>
        <w:rPr>
          <w:rStyle w:val="14"/>
          <w:rFonts w:ascii="仿宋" w:eastAsia="仿宋"/>
          <w:b w:val="0"/>
          <w:bCs/>
          <w:color w:val="000000"/>
          <w:sz w:val="32"/>
          <w:szCs w:val="32"/>
        </w:rPr>
      </w:pPr>
      <w:r>
        <w:rPr>
          <w:rStyle w:val="14"/>
          <w:rFonts w:hint="eastAsia" w:ascii="仿宋" w:eastAsia="仿宋"/>
          <w:b w:val="0"/>
          <w:bCs/>
          <w:color w:val="000000"/>
          <w:sz w:val="32"/>
          <w:szCs w:val="32"/>
        </w:rPr>
        <w:t>6.农林水支出643.36万元：农业——事业运行支出决算数为16.86万元；农业——农村道路建设支出决算数为54万元；农业——其他农业支出决算数为10万元；水利——农田水利支出决算数为15万元；扶贫——农村基础设施建设支出决算数为18万元；扶贫——其他扶贫支出支出决算数为16.68万元；农业综合开发——土地治理支出决算数为7万元；农业综合开发——产业化发展支出决算数为10万元；农村综合改革——对村级一事一议的补助支出决算数为20万元；农村综合改革——对村民委员会和村党支部的补助支出决算数为460.82万元；其他农林水支出——其他农林水支出决算数为15万元；完成预算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，决算数等于预算数。</w:t>
      </w:r>
    </w:p>
    <w:p>
      <w:pPr>
        <w:spacing w:line="600" w:lineRule="exact"/>
        <w:ind w:firstLine="640"/>
        <w:rPr>
          <w:rStyle w:val="14"/>
          <w:rFonts w:ascii="仿宋" w:eastAsia="仿宋"/>
          <w:b w:val="0"/>
          <w:bCs/>
          <w:color w:val="000000"/>
          <w:sz w:val="32"/>
          <w:szCs w:val="32"/>
        </w:rPr>
      </w:pPr>
      <w:r>
        <w:rPr>
          <w:rStyle w:val="14"/>
          <w:rFonts w:hint="eastAsia" w:ascii="仿宋" w:eastAsia="仿宋"/>
          <w:b w:val="0"/>
          <w:bCs/>
          <w:color w:val="000000"/>
          <w:sz w:val="32"/>
          <w:szCs w:val="32"/>
        </w:rPr>
        <w:t>7.交通运输支出23.67万元：公路水路运输——公路和运输安全支出决算数为15.67万元；公路水路运输——  其他公路水路运输支出决算数为8万元；完成预算100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，决算数等于预算数。</w:t>
      </w:r>
    </w:p>
    <w:p>
      <w:pPr>
        <w:spacing w:line="600" w:lineRule="exact"/>
        <w:ind w:firstLine="640"/>
        <w:rPr>
          <w:rFonts w:ascii="仿宋" w:eastAsia="仿宋"/>
          <w:b/>
          <w:color w:val="000000"/>
          <w:sz w:val="32"/>
          <w:szCs w:val="32"/>
        </w:rPr>
      </w:pPr>
      <w:r>
        <w:rPr>
          <w:rStyle w:val="14"/>
          <w:rFonts w:hint="eastAsia" w:ascii="仿宋" w:eastAsia="仿宋"/>
          <w:b w:val="0"/>
          <w:bCs/>
          <w:color w:val="000000"/>
          <w:sz w:val="32"/>
          <w:szCs w:val="32"/>
        </w:rPr>
        <w:t>8.住房保障支出24.68万元：住房改革支出——住房公积金支出决算数为24.68万元；完成预算100</w:t>
      </w:r>
      <w:r>
        <w:rPr>
          <w:rStyle w:val="14"/>
          <w:rFonts w:ascii="仿宋" w:eastAsia="仿宋"/>
          <w:b w:val="0"/>
          <w:bCs/>
          <w:color w:val="000000"/>
          <w:sz w:val="32"/>
          <w:szCs w:val="32"/>
        </w:rPr>
        <w:t>%</w:t>
      </w:r>
      <w:r>
        <w:rPr>
          <w:rStyle w:val="14"/>
          <w:rFonts w:hint="eastAsia" w:ascii="仿宋" w:eastAsia="仿宋"/>
          <w:b w:val="0"/>
          <w:bCs/>
          <w:color w:val="000000"/>
          <w:sz w:val="32"/>
          <w:szCs w:val="32"/>
        </w:rPr>
        <w:t>，决算数等于预算数。</w:t>
      </w:r>
    </w:p>
    <w:p>
      <w:pPr>
        <w:tabs>
          <w:tab w:val="right" w:pos="8306"/>
        </w:tabs>
        <w:spacing w:line="600" w:lineRule="exact"/>
        <w:ind w:firstLine="640"/>
        <w:outlineLvl w:val="1"/>
        <w:rPr>
          <w:rStyle w:val="17"/>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、一</w:t>
      </w:r>
      <w:r>
        <w:rPr>
          <w:rStyle w:val="17"/>
          <w:rFonts w:hint="eastAsia" w:ascii="黑体" w:eastAsia="黑体"/>
          <w:b w:val="0"/>
        </w:rPr>
        <w:t>般公共预算财政拨款基本支出决算情况说明</w:t>
      </w:r>
      <w:bookmarkEnd w:id="40"/>
      <w:bookmarkEnd w:id="41"/>
      <w:r>
        <w:rPr>
          <w:rStyle w:val="17"/>
          <w:rFonts w:ascii="黑体" w:eastAsia="黑体"/>
          <w:b w:val="0"/>
        </w:rPr>
        <w:tab/>
      </w:r>
    </w:p>
    <w:p>
      <w:pPr>
        <w:spacing w:line="600" w:lineRule="exact"/>
        <w:ind w:firstLine="645"/>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8年一般公共预算财政拨款基本支出1414.66万元，其中：</w:t>
      </w:r>
    </w:p>
    <w:p>
      <w:pPr>
        <w:spacing w:line="600" w:lineRule="exact"/>
        <w:ind w:firstLine="645"/>
        <w:rPr>
          <w:rFonts w:ascii="仿宋" w:eastAsia="仿宋"/>
          <w:color w:val="000000"/>
          <w:sz w:val="32"/>
          <w:szCs w:val="32"/>
        </w:rPr>
      </w:pPr>
      <w:r>
        <w:rPr>
          <w:rFonts w:hint="eastAsia" w:ascii="仿宋" w:eastAsia="仿宋"/>
          <w:color w:val="000000"/>
          <w:sz w:val="32"/>
          <w:szCs w:val="32"/>
        </w:rPr>
        <w:t>人员经费1137.15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color w:val="000000"/>
          <w:sz w:val="32"/>
          <w:szCs w:val="32"/>
        </w:rPr>
        <w:br w:type="textWrapping"/>
      </w:r>
      <w:r>
        <w:rPr>
          <w:rFonts w:hint="eastAsia" w:ascii="仿宋" w:eastAsia="仿宋"/>
          <w:color w:val="000000"/>
          <w:sz w:val="32"/>
          <w:szCs w:val="32"/>
        </w:rPr>
        <w:t>　　公用经费277.51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ascii="黑体" w:eastAsia="黑体"/>
          <w:b w:val="0"/>
        </w:rPr>
      </w:pPr>
      <w:bookmarkStart w:id="42" w:name="_Toc15396609"/>
      <w:bookmarkStart w:id="43" w:name="_Toc15377215"/>
      <w:r>
        <w:rPr>
          <w:rFonts w:hint="eastAsia" w:ascii="黑体" w:eastAsia="黑体"/>
          <w:color w:val="000000"/>
          <w:sz w:val="32"/>
          <w:szCs w:val="32"/>
        </w:rPr>
        <w:t>七、</w:t>
      </w:r>
      <w:r>
        <w:rPr>
          <w:rStyle w:val="17"/>
          <w:rFonts w:hint="eastAsia" w:ascii="黑体" w:eastAsia="黑体"/>
        </w:rPr>
        <w:t>“</w:t>
      </w:r>
      <w:r>
        <w:rPr>
          <w:rStyle w:val="17"/>
          <w:rFonts w:hint="eastAsia" w:ascii="黑体" w:eastAsia="黑体"/>
          <w:b w:val="0"/>
        </w:rPr>
        <w:t>三公”经费财政拨款支出决算情况说明</w:t>
      </w:r>
      <w:bookmarkEnd w:id="42"/>
      <w:bookmarkEnd w:id="43"/>
    </w:p>
    <w:p>
      <w:pPr>
        <w:spacing w:line="600" w:lineRule="exact"/>
        <w:ind w:firstLine="640"/>
        <w:outlineLvl w:val="2"/>
        <w:rPr>
          <w:rFonts w:ascii="仿宋" w:eastAsia="仿宋"/>
          <w:b/>
          <w:color w:val="000000"/>
          <w:sz w:val="32"/>
          <w:szCs w:val="32"/>
        </w:rPr>
      </w:pPr>
      <w:bookmarkStart w:id="44" w:name="_Toc15377216"/>
      <w:r>
        <w:rPr>
          <w:rFonts w:hint="eastAsia" w:ascii="仿宋" w:eastAsia="仿宋"/>
          <w:b/>
          <w:color w:val="000000"/>
          <w:sz w:val="32"/>
          <w:szCs w:val="32"/>
        </w:rPr>
        <w:t>（一）“三公”经费财政拨款支出决算总体情况说明</w:t>
      </w:r>
      <w:bookmarkEnd w:id="44"/>
    </w:p>
    <w:p>
      <w:pPr>
        <w:spacing w:line="600" w:lineRule="exact"/>
        <w:ind w:firstLine="640"/>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8年“三公”经费财政拨款支出决算为18.58万元，完成预算100</w:t>
      </w:r>
      <w:r>
        <w:rPr>
          <w:rFonts w:ascii="仿宋" w:eastAsia="仿宋"/>
          <w:color w:val="000000"/>
          <w:sz w:val="32"/>
          <w:szCs w:val="32"/>
        </w:rPr>
        <w:t>%</w:t>
      </w:r>
      <w:r>
        <w:rPr>
          <w:rFonts w:hint="eastAsia" w:ascii="仿宋" w:eastAsia="仿宋"/>
          <w:color w:val="000000"/>
          <w:sz w:val="32"/>
          <w:szCs w:val="32"/>
        </w:rPr>
        <w:t>，决算数等于预算数。</w:t>
      </w:r>
    </w:p>
    <w:p>
      <w:pPr>
        <w:spacing w:line="600" w:lineRule="exact"/>
        <w:ind w:firstLine="640"/>
        <w:outlineLvl w:val="2"/>
        <w:rPr>
          <w:rFonts w:ascii="仿宋" w:eastAsia="仿宋"/>
          <w:b/>
          <w:color w:val="000000"/>
          <w:sz w:val="32"/>
          <w:szCs w:val="32"/>
        </w:rPr>
      </w:pPr>
      <w:bookmarkStart w:id="45" w:name="_Toc15377217"/>
      <w:r>
        <w:rPr>
          <w:rFonts w:hint="eastAsia" w:ascii="仿宋" w:eastAsia="仿宋"/>
          <w:b/>
          <w:color w:val="000000"/>
          <w:sz w:val="32"/>
          <w:szCs w:val="32"/>
        </w:rPr>
        <w:t>（二）“三公”经费财政拨款支出决算具体情况说明</w:t>
      </w:r>
      <w:bookmarkEnd w:id="45"/>
    </w:p>
    <w:p>
      <w:pPr>
        <w:spacing w:line="600" w:lineRule="exact"/>
        <w:ind w:firstLine="640"/>
        <w:rPr>
          <w:rFonts w:ascii="仿宋" w:eastAsia="仿宋"/>
          <w:color w:val="000000"/>
          <w:sz w:val="32"/>
          <w:szCs w:val="32"/>
        </w:rPr>
      </w:pPr>
      <w:r>
        <w:rPr>
          <w:rFonts w:ascii="仿宋" w:eastAsia="仿宋"/>
          <w:color w:val="000000"/>
          <w:sz w:val="32"/>
          <w:szCs w:val="32"/>
        </w:rPr>
        <w:t>201</w:t>
      </w:r>
      <w:r>
        <w:rPr>
          <w:rFonts w:hint="eastAsia" w:ascii="仿宋" w:eastAsia="仿宋"/>
          <w:color w:val="000000"/>
          <w:sz w:val="32"/>
          <w:szCs w:val="32"/>
        </w:rPr>
        <w:t>8年“三公”经费财政拨款支出决算中，因公出国（境）费支出决算0万元，占0</w:t>
      </w:r>
      <w:r>
        <w:rPr>
          <w:rFonts w:ascii="仿宋" w:eastAsia="仿宋"/>
          <w:color w:val="000000"/>
          <w:sz w:val="32"/>
          <w:szCs w:val="32"/>
        </w:rPr>
        <w:t>%</w:t>
      </w:r>
      <w:r>
        <w:rPr>
          <w:rFonts w:hint="eastAsia" w:ascii="仿宋" w:eastAsia="仿宋"/>
          <w:color w:val="000000"/>
          <w:sz w:val="32"/>
          <w:szCs w:val="32"/>
        </w:rPr>
        <w:t>；公务用车购置及运行维护费支出决算0万元，占0</w:t>
      </w:r>
      <w:r>
        <w:rPr>
          <w:rFonts w:ascii="仿宋" w:eastAsia="仿宋"/>
          <w:color w:val="000000"/>
          <w:sz w:val="32"/>
          <w:szCs w:val="32"/>
        </w:rPr>
        <w:t>%</w:t>
      </w:r>
      <w:r>
        <w:rPr>
          <w:rFonts w:hint="eastAsia" w:ascii="仿宋" w:eastAsia="仿宋"/>
          <w:color w:val="000000"/>
          <w:sz w:val="32"/>
          <w:szCs w:val="32"/>
        </w:rPr>
        <w:t>；公务接待费支出决算18.58万元，占100</w:t>
      </w:r>
      <w:r>
        <w:rPr>
          <w:rFonts w:ascii="仿宋" w:eastAsia="仿宋"/>
          <w:color w:val="000000"/>
          <w:sz w:val="32"/>
          <w:szCs w:val="32"/>
        </w:rPr>
        <w:t>%</w:t>
      </w:r>
      <w:r>
        <w:rPr>
          <w:rFonts w:hint="eastAsia" w:ascii="仿宋" w:eastAsia="仿宋"/>
          <w:color w:val="000000"/>
          <w:sz w:val="32"/>
          <w:szCs w:val="32"/>
        </w:rPr>
        <w:t>。具体情况如下：</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公务接待费支出18.58万元，</w:t>
      </w:r>
      <w:r>
        <w:rPr>
          <w:rStyle w:val="14"/>
          <w:rFonts w:hint="eastAsia" w:ascii="仿宋" w:eastAsia="仿宋"/>
          <w:b w:val="0"/>
          <w:bCs/>
          <w:color w:val="000000"/>
          <w:sz w:val="32"/>
          <w:szCs w:val="32"/>
        </w:rPr>
        <w:t>完成预算100</w:t>
      </w:r>
      <w:r>
        <w:rPr>
          <w:rStyle w:val="14"/>
          <w:rFonts w:ascii="仿宋" w:eastAsia="仿宋"/>
          <w:b w:val="0"/>
          <w:bCs/>
          <w:color w:val="000000"/>
          <w:sz w:val="32"/>
          <w:szCs w:val="32"/>
        </w:rPr>
        <w:t>%</w:t>
      </w:r>
      <w:r>
        <w:rPr>
          <w:rStyle w:val="14"/>
          <w:rFonts w:hint="eastAsia" w:asci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7年减少1.36万元，下降6.84</w:t>
      </w:r>
      <w:r>
        <w:rPr>
          <w:rFonts w:ascii="仿宋_GB2312" w:eastAsia="仿宋_GB2312"/>
          <w:color w:val="000000"/>
          <w:sz w:val="32"/>
          <w:szCs w:val="32"/>
        </w:rPr>
        <w:t>%</w:t>
      </w:r>
      <w:r>
        <w:rPr>
          <w:rFonts w:hint="eastAsia" w:ascii="仿宋_GB2312" w:eastAsia="仿宋_GB2312"/>
          <w:color w:val="000000"/>
          <w:sz w:val="32"/>
          <w:szCs w:val="32"/>
        </w:rPr>
        <w:t>。主要原因是厉行节约。</w:t>
      </w:r>
    </w:p>
    <w:p>
      <w:pPr>
        <w:spacing w:line="600" w:lineRule="exact"/>
        <w:ind w:firstLine="640"/>
        <w:outlineLvl w:val="1"/>
        <w:rPr>
          <w:rFonts w:ascii="仿宋_GB2312" w:eastAsia="仿宋_GB2312"/>
          <w:color w:val="000000"/>
          <w:sz w:val="32"/>
          <w:szCs w:val="32"/>
        </w:rPr>
      </w:pPr>
      <w:r>
        <w:rPr>
          <w:rFonts w:hint="eastAsia" w:ascii="仿宋_GB2312" w:eastAsia="仿宋_GB2312"/>
          <w:color w:val="000000"/>
          <w:sz w:val="32"/>
          <w:szCs w:val="32"/>
        </w:rPr>
        <w:t>国内公务接待371批次，4574人次（不包括陪同人员），共计支出18.8万元</w:t>
      </w:r>
      <w:bookmarkStart w:id="46" w:name="_Toc15377218"/>
      <w:bookmarkStart w:id="47" w:name="_Toc15396610"/>
      <w:r>
        <w:rPr>
          <w:rFonts w:hint="eastAsia" w:ascii="仿宋_GB2312" w:eastAsia="仿宋_GB2312"/>
          <w:color w:val="000000"/>
          <w:sz w:val="32"/>
          <w:szCs w:val="32"/>
        </w:rPr>
        <w:t>。主要用于执行公务、开展业务活动开支的交通费、住宿费、用餐费等。</w:t>
      </w:r>
    </w:p>
    <w:p>
      <w:pPr>
        <w:spacing w:line="600" w:lineRule="exact"/>
        <w:ind w:firstLine="640"/>
        <w:outlineLvl w:val="1"/>
        <w:rPr>
          <w:rStyle w:val="17"/>
          <w:rFonts w:ascii="黑体" w:eastAsia="黑体"/>
        </w:rPr>
      </w:pPr>
      <w:r>
        <w:rPr>
          <w:rFonts w:hint="eastAsia" w:ascii="黑体" w:eastAsia="黑体"/>
          <w:color w:val="000000"/>
          <w:sz w:val="32"/>
          <w:szCs w:val="32"/>
        </w:rPr>
        <w:t>八、</w:t>
      </w:r>
      <w:r>
        <w:rPr>
          <w:rStyle w:val="17"/>
          <w:rFonts w:hint="eastAsia" w:asci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8年政府性基金预算拨款支出31万元。</w:t>
      </w:r>
    </w:p>
    <w:p>
      <w:pPr>
        <w:numPr>
          <w:ilvl w:val="0"/>
          <w:numId w:val="2"/>
        </w:numPr>
        <w:spacing w:line="600" w:lineRule="exact"/>
        <w:ind w:left="0" w:firstLine="640"/>
        <w:outlineLvl w:val="1"/>
        <w:rPr>
          <w:rStyle w:val="17"/>
          <w:rFonts w:ascii="黑体" w:eastAsia="黑体"/>
          <w:b w:val="0"/>
        </w:rPr>
      </w:pPr>
      <w:bookmarkStart w:id="48" w:name="_Toc15377219"/>
      <w:bookmarkStart w:id="49" w:name="_Toc15396611"/>
      <w:r>
        <w:rPr>
          <w:rStyle w:val="17"/>
          <w:rFonts w:hint="eastAsia" w:asci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2"/>
        <w:numPr>
          <w:ilvl w:val="0"/>
          <w:numId w:val="3"/>
        </w:numPr>
        <w:spacing w:line="580" w:lineRule="exact"/>
        <w:ind w:firstLineChars="0"/>
        <w:rPr>
          <w:rStyle w:val="17"/>
          <w:rFonts w:ascii="黑体" w:eastAsia="黑体"/>
          <w:b w:val="0"/>
        </w:rPr>
      </w:pPr>
      <w:r>
        <w:rPr>
          <w:rStyle w:val="17"/>
          <w:rFonts w:hint="eastAsia" w:ascii="黑体" w:eastAsia="黑体"/>
          <w:b w:val="0"/>
        </w:rPr>
        <w:t>预算绩效情况说明</w:t>
      </w:r>
    </w:p>
    <w:p>
      <w:pPr>
        <w:numPr>
          <w:ilvl w:val="0"/>
          <w:numId w:val="4"/>
        </w:numPr>
        <w:spacing w:line="580" w:lineRule="exact"/>
        <w:ind w:left="0" w:firstLine="643" w:firstLineChars="200"/>
        <w:rPr>
          <w:rFonts w:ascii="仿宋" w:eastAsia="仿宋" w:cs="楷体_GB2312"/>
          <w:b/>
          <w:bCs/>
          <w:sz w:val="32"/>
          <w:szCs w:val="32"/>
        </w:rPr>
      </w:pPr>
      <w:r>
        <w:rPr>
          <w:rFonts w:hint="eastAsia" w:ascii="仿宋" w:eastAsia="仿宋" w:cs="楷体_GB2312"/>
          <w:b/>
          <w:bCs/>
          <w:sz w:val="32"/>
          <w:szCs w:val="32"/>
        </w:rPr>
        <w:t>预算绩效管理工作开展情况。</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根据预算绩效管理要求，本部门（单位）在年初预算编制阶段，组织对预算项目开展了预算事前绩效评估，对1个项目编制了绩效目标，预算执行过程中，选取1个项目开展绩效监控，年终执行完毕后，对1个项目开展了绩效目标完成情况梳理填报。</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部门按要求对2018年部门整体支出开展绩效自评，从评价情况来看自评结果得分100分，但也存在一些问题：一是项目进度缓慢，归档不及时。二是对项目工程及时跟进，确保项目工程完成，下一步改进措施：一是加快项目进度，二是及时对项目资料进行归档。</w:t>
      </w:r>
    </w:p>
    <w:p>
      <w:pPr>
        <w:spacing w:line="580" w:lineRule="exact"/>
        <w:ind w:firstLine="643" w:firstLineChars="200"/>
        <w:rPr>
          <w:rFonts w:ascii="仿宋_GB2312" w:eastAsia="仿宋_GB2312" w:cs="仿宋_GB2312"/>
          <w:sz w:val="32"/>
          <w:szCs w:val="32"/>
        </w:rPr>
      </w:pPr>
      <w:r>
        <w:rPr>
          <w:rFonts w:hint="eastAsia" w:ascii="仿宋" w:eastAsia="仿宋" w:cs="楷体_GB2312"/>
          <w:b/>
          <w:bCs/>
          <w:sz w:val="32"/>
          <w:szCs w:val="32"/>
        </w:rPr>
        <w:t>项目绩效目标完成情况。</w:t>
      </w:r>
      <w:r>
        <w:rPr>
          <w:rFonts w:hint="eastAsia" w:ascii="楷体_GB2312" w:eastAsia="楷体_GB2312" w:cs="楷体_GB2312"/>
          <w:b/>
          <w:bCs/>
          <w:sz w:val="32"/>
          <w:szCs w:val="32"/>
        </w:rPr>
        <w:br w:type="textWrapping"/>
      </w:r>
      <w:r>
        <w:rPr>
          <w:rFonts w:hint="eastAsia" w:ascii="仿宋_GB2312" w:eastAsia="仿宋_GB2312" w:cs="仿宋_GB2312"/>
          <w:sz w:val="32"/>
          <w:szCs w:val="32"/>
        </w:rPr>
        <w:t xml:space="preserve">   本部门在2018年度部门决算中反映财力保障等5个项目绩效目标实际完成情况：</w:t>
      </w:r>
    </w:p>
    <w:p>
      <w:pPr>
        <w:numPr>
          <w:ilvl w:val="0"/>
          <w:numId w:val="5"/>
        </w:numPr>
        <w:spacing w:line="580" w:lineRule="exact"/>
        <w:ind w:left="0" w:firstLine="640" w:firstLineChars="200"/>
        <w:rPr>
          <w:rFonts w:ascii="仿宋_GB2312" w:eastAsia="仿宋_GB2312" w:cs="仿宋_GB2312"/>
          <w:sz w:val="32"/>
          <w:szCs w:val="32"/>
        </w:rPr>
      </w:pPr>
      <w:r>
        <w:rPr>
          <w:rFonts w:hint="eastAsia" w:ascii="仿宋_GB2312" w:eastAsia="仿宋_GB2312" w:cs="仿宋_GB2312"/>
          <w:sz w:val="32"/>
          <w:szCs w:val="32"/>
        </w:rPr>
        <w:t>财力保障促发展项目绩效目标完成情况综述。项目全年预算数19万元，执行数为19万元，完成预算的100%。通过项目实施，保障各项工作圆满完成，努力提高村民增收，巩固村民的经济稳增长，让百姓得到实惠，发现的主要问题：一是管理上还不够积极主动，不能够很好参与其中。下一步改进措施：一是在管理工作中积极主动，提高管理水平能力，做到人人参与其管理中去。</w:t>
      </w:r>
    </w:p>
    <w:tbl>
      <w:tblPr>
        <w:tblStyle w:val="12"/>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60" w:type="dxa"/>
            <w:gridSpan w:val="6"/>
            <w:noWrap/>
            <w:tcMar>
              <w:top w:w="15" w:type="dxa"/>
              <w:left w:w="15" w:type="dxa"/>
              <w:right w:w="15" w:type="dxa"/>
            </w:tcMar>
            <w:vAlign w:val="center"/>
          </w:tcPr>
          <w:p>
            <w:pPr>
              <w:pStyle w:val="22"/>
              <w:widowControl/>
              <w:ind w:left="4173" w:leftChars="1310" w:hanging="1422" w:hangingChars="395"/>
              <w:textAlignment w:val="center"/>
              <w:rPr>
                <w:rFonts w:ascii="宋体" w:cs="宋体"/>
                <w:color w:val="000000"/>
                <w:sz w:val="36"/>
                <w:szCs w:val="36"/>
              </w:rPr>
            </w:pPr>
            <w:r>
              <w:rPr>
                <w:rFonts w:hint="eastAsia" w:ascii="黑体" w:eastAsia="黑体" w:cs="宋体"/>
                <w:bCs/>
                <w:color w:val="000000"/>
                <w:kern w:val="0"/>
                <w:sz w:val="36"/>
                <w:szCs w:val="36"/>
              </w:rPr>
              <w:t>项目支出绩效目标完成情况表（1）</w:t>
            </w:r>
            <w:r>
              <w:rPr>
                <w:rFonts w:hint="eastAsia" w:ascii="宋体" w:cs="宋体"/>
                <w:b/>
                <w:bCs/>
                <w:color w:val="000000"/>
                <w:kern w:val="0"/>
                <w:sz w:val="36"/>
                <w:szCs w:val="36"/>
              </w:rPr>
              <w:br w:type="textWrapping"/>
            </w:r>
            <w:r>
              <w:rPr>
                <w:rFonts w:hint="eastAsia" w:ascii="宋体" w:cs="宋体"/>
                <w:color w:val="000000"/>
                <w:kern w:val="0"/>
                <w:sz w:val="36"/>
                <w:szCs w:val="36"/>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桥湾镇2018年度财力保障化债项目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达州市达川区桥湾镇人民政府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19万元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19万元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19万元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19万元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分年逐批化解建设欠款，巩固基层组织建设</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减少债务</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减少镇村级债务情况  万元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已完成村级债务化解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帐务处理</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做到公平、透明，不得出现新的债务</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已完成相关任务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完成率</w:t>
            </w:r>
            <w:r>
              <w:rPr>
                <w:rFonts w:ascii="Arial" w:hAnsi="Arial" w:cs="Arial"/>
                <w:color w:val="000000"/>
                <w:sz w:val="24"/>
              </w:rPr>
              <w:t>≥</w:t>
            </w:r>
            <w:r>
              <w:rPr>
                <w:rFonts w:hint="eastAsia" w:ascii="宋体" w:cs="宋体"/>
                <w:color w:val="00000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解决存在债务</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促进社会和谐发展</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解决实际债务提高经济。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化解矛盾</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及时处理相关债务，调和基层政权和债权人的关系，提升社会满意度</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已完成相关债务，达到目标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项目效益指标</w:t>
            </w:r>
            <w:r>
              <w:rPr>
                <w:rFonts w:hint="eastAsia" w:asci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 xml:space="preserve">     保障环境，不能以牺牲环境为代价</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项目效益指标</w:t>
            </w:r>
            <w:r>
              <w:rPr>
                <w:rFonts w:hint="eastAsia" w:asci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后期经济发展</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持续提供经济发展动力</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Arial" w:hAnsi="Arial" w:cs="Arial"/>
                <w:color w:val="000000"/>
                <w:sz w:val="24"/>
              </w:rPr>
              <w:t>促进了当地经济发展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村民满意</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 xml:space="preserve">       满意度</w:t>
            </w:r>
            <w:r>
              <w:rPr>
                <w:rFonts w:ascii="Arial" w:hAnsi="Arial" w:cs="Arial"/>
                <w:color w:val="000000"/>
                <w:sz w:val="24"/>
              </w:rPr>
              <w:t>≥</w:t>
            </w:r>
            <w:r>
              <w:rPr>
                <w:rFonts w:hint="eastAsia"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已达到满意度</w:t>
            </w:r>
            <w:r>
              <w:rPr>
                <w:rFonts w:ascii="Arial" w:hAnsi="Arial" w:cs="Arial"/>
                <w:color w:val="000000"/>
                <w:sz w:val="24"/>
              </w:rPr>
              <w:t>≥</w:t>
            </w:r>
            <w:r>
              <w:rPr>
                <w:rFonts w:hint="eastAsia" w:ascii="宋体" w:cs="宋体"/>
                <w:color w:val="000000"/>
                <w:sz w:val="24"/>
              </w:rPr>
              <w:t>95%</w:t>
            </w:r>
          </w:p>
        </w:tc>
      </w:tr>
    </w:tbl>
    <w:p>
      <w:pPr>
        <w:spacing w:line="580" w:lineRule="exact"/>
        <w:rPr>
          <w:rFonts w:ascii="仿宋_GB2312" w:eastAsia="仿宋_GB2312" w:cs="仿宋_GB2312"/>
          <w:sz w:val="32"/>
          <w:szCs w:val="32"/>
        </w:rPr>
      </w:pP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财力保障环境综合治理项目绩效目标完成情况综述。项目全年预算数35万元，执行数为35万元，完成预算的100%。通过项目实施，给老百姓创造一个良好的生活环境，改善人文居住的环境，对环境进行综合治理。发现的主要问题：一是对周围环境保持不够好，爱护意识不够强，人人参与意识不浓。下一步改进措施：一是提高人人环保意识，让大家都参与其中，创造一个美丽和谐的环境。</w:t>
      </w:r>
    </w:p>
    <w:tbl>
      <w:tblPr>
        <w:tblStyle w:val="12"/>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60" w:type="dxa"/>
            <w:gridSpan w:val="6"/>
            <w:noWrap/>
            <w:tcMar>
              <w:top w:w="15" w:type="dxa"/>
              <w:left w:w="15" w:type="dxa"/>
              <w:right w:w="15" w:type="dxa"/>
            </w:tcMar>
            <w:vAlign w:val="center"/>
          </w:tcPr>
          <w:p>
            <w:pPr>
              <w:pStyle w:val="22"/>
              <w:widowControl/>
              <w:ind w:left="4173" w:leftChars="1310" w:hanging="1422" w:hangingChars="395"/>
              <w:textAlignment w:val="center"/>
              <w:rPr>
                <w:rFonts w:ascii="宋体" w:cs="宋体"/>
                <w:color w:val="000000"/>
                <w:sz w:val="36"/>
                <w:szCs w:val="36"/>
              </w:rPr>
            </w:pPr>
            <w:r>
              <w:rPr>
                <w:rFonts w:hint="eastAsia" w:ascii="黑体" w:eastAsia="黑体" w:cs="宋体"/>
                <w:bCs/>
                <w:color w:val="000000"/>
                <w:kern w:val="0"/>
                <w:sz w:val="36"/>
                <w:szCs w:val="36"/>
              </w:rPr>
              <w:t>项目支出绩效目标完成情况表（2）</w:t>
            </w:r>
            <w:r>
              <w:rPr>
                <w:rFonts w:hint="eastAsia" w:ascii="宋体" w:cs="宋体"/>
                <w:b/>
                <w:bCs/>
                <w:color w:val="000000"/>
                <w:kern w:val="0"/>
                <w:sz w:val="36"/>
                <w:szCs w:val="36"/>
              </w:rPr>
              <w:br w:type="textWrapping"/>
            </w:r>
            <w:r>
              <w:rPr>
                <w:rFonts w:hint="eastAsia" w:ascii="宋体" w:cs="宋体"/>
                <w:color w:val="000000"/>
                <w:kern w:val="0"/>
                <w:sz w:val="36"/>
                <w:szCs w:val="36"/>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桥湾镇2018年度财力保障环境综合治理项目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达州市达川区桥湾镇人民政府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1200" w:firstLineChars="500"/>
              <w:textAlignment w:val="center"/>
              <w:rPr>
                <w:rFonts w:ascii="宋体" w:cs="宋体"/>
                <w:color w:val="000000"/>
                <w:sz w:val="24"/>
              </w:rPr>
            </w:pPr>
            <w:r>
              <w:rPr>
                <w:rFonts w:hint="eastAsia" w:ascii="宋体" w:cs="宋体"/>
                <w:color w:val="000000"/>
                <w:sz w:val="24"/>
              </w:rPr>
              <w:t>35万元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35万元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推进环保节能治理，建立健全农村生活垃圾处理长效机制，深入开展环境污染和面源污染治理。</w:t>
            </w:r>
            <w:r>
              <w:rPr>
                <w:rFonts w:hint="eastAsia" w:ascii="宋体" w:cs="宋体"/>
                <w:color w:val="000000"/>
                <w:sz w:val="24"/>
              </w:rPr>
              <w:tab/>
            </w:r>
            <w:r>
              <w:rPr>
                <w:rFonts w:hint="eastAsia" w:ascii="宋体" w:cs="宋体"/>
                <w:color w:val="000000"/>
                <w:sz w:val="24"/>
              </w:rPr>
              <w:tab/>
            </w:r>
            <w:r>
              <w:rPr>
                <w:rFonts w:hint="eastAsia" w:ascii="宋体" w:cs="宋体"/>
                <w:color w:val="000000"/>
                <w:sz w:val="24"/>
              </w:rPr>
              <w:tab/>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保洁工作、环境治理宣传活动</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落实社区保洁员3名，各村保洁员1名、宣传标语不低于24幅，会议每月一次</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已完成落实社区保洁员3名，各村保洁员1名、宣传标语不低于24幅，会议每月一次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卫生保洁、垃圾清运、车辆停放</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做到场镇和村主要交通路干净，无污水，无垃圾。天天有人清扫做到垃圾日清，及时将垃圾运往佳境环保做无害化处理。</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已完成做到场镇和村主要交通路干净，无污水，无垃圾。天天有人清扫做到垃圾日清，及时将垃圾运往佳境环保做无害化处理。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完成率</w:t>
            </w:r>
            <w:r>
              <w:rPr>
                <w:rFonts w:ascii="Arial" w:hAnsi="Arial" w:cs="Arial"/>
                <w:color w:val="000000"/>
                <w:sz w:val="24"/>
              </w:rPr>
              <w:t>≥</w:t>
            </w:r>
            <w:r>
              <w:rPr>
                <w:rFonts w:hint="eastAsia" w:ascii="宋体" w:cs="宋体"/>
                <w:color w:val="00000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垃圾处置费用、保洁员工资、垃圾清运车费</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严格按相关要求报账、严格按相关要求报账、严格按相关要求报账</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严格按相关要求报账、严格按相关要求报账、严格按相关要求报账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投资环境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为外来投资商创建一个干净、整治的投资环境，提升五四招商引资能力。</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环境卫生整治</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改善人居环境，提升群众幸福生活指数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改善了群众的人居环境，提升了幸福生活 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项目效益指标</w:t>
            </w:r>
            <w:r>
              <w:rPr>
                <w:rFonts w:hint="eastAsia" w:asci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 xml:space="preserve"> 垃圾日清，迅速处置</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做到了垃圾日清，垃圾池周清。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项目效益指标</w:t>
            </w:r>
            <w:r>
              <w:rPr>
                <w:rFonts w:hint="eastAsia" w:asci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政策导向</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长期保障工作平稳进行</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Arial" w:hAnsi="Arial" w:cs="Arial"/>
                <w:color w:val="000000"/>
                <w:sz w:val="24"/>
              </w:rPr>
              <w:t>促进了全镇环境整治的发展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社会满意</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 xml:space="preserve">  社会满意度</w:t>
            </w:r>
            <w:r>
              <w:rPr>
                <w:rFonts w:ascii="Arial" w:hAnsi="Arial" w:cs="Arial"/>
                <w:color w:val="000000"/>
                <w:sz w:val="24"/>
              </w:rPr>
              <w:t>≥</w:t>
            </w:r>
            <w:r>
              <w:rPr>
                <w:rFonts w:hint="eastAsia"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已达到满意度</w:t>
            </w:r>
            <w:r>
              <w:rPr>
                <w:rFonts w:ascii="Arial" w:hAnsi="Arial" w:cs="Arial"/>
                <w:color w:val="000000"/>
                <w:sz w:val="24"/>
              </w:rPr>
              <w:t>≥</w:t>
            </w:r>
            <w:r>
              <w:rPr>
                <w:rFonts w:hint="eastAsia" w:ascii="宋体" w:cs="宋体"/>
                <w:color w:val="000000"/>
                <w:sz w:val="24"/>
              </w:rPr>
              <w:t>95%</w:t>
            </w:r>
          </w:p>
        </w:tc>
      </w:tr>
    </w:tbl>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财力保障项促进发展项目绩效目标完成情况综述。项目全年预算数7万元，执行数为7万元，完成预算的100%。通过项目实施，巩固产业发展，让百姓参与其中，促进产业发展，让百姓得实惠，提高人均收入。发现的主要问题：一是在管理中还不是很到位，二是产业发展资金投入较少。下一步改进措施：提高人人参与到管理中来，切实抓好责任管理。</w:t>
      </w:r>
    </w:p>
    <w:tbl>
      <w:tblPr>
        <w:tblStyle w:val="12"/>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60" w:type="dxa"/>
            <w:gridSpan w:val="6"/>
            <w:noWrap/>
            <w:tcMar>
              <w:top w:w="15" w:type="dxa"/>
              <w:left w:w="15" w:type="dxa"/>
              <w:right w:w="15" w:type="dxa"/>
            </w:tcMar>
            <w:vAlign w:val="center"/>
          </w:tcPr>
          <w:p>
            <w:pPr>
              <w:pStyle w:val="22"/>
              <w:widowControl/>
              <w:ind w:left="4173" w:leftChars="1310" w:hanging="1422" w:hangingChars="395"/>
              <w:textAlignment w:val="center"/>
              <w:rPr>
                <w:rFonts w:ascii="宋体" w:cs="宋体"/>
                <w:color w:val="000000"/>
                <w:sz w:val="36"/>
                <w:szCs w:val="36"/>
              </w:rPr>
            </w:pPr>
            <w:r>
              <w:rPr>
                <w:rFonts w:hint="eastAsia" w:ascii="黑体" w:eastAsia="黑体" w:cs="宋体"/>
                <w:bCs/>
                <w:color w:val="000000"/>
                <w:kern w:val="0"/>
                <w:sz w:val="36"/>
                <w:szCs w:val="36"/>
              </w:rPr>
              <w:t>项目支出绩效目标完成情况表（3）</w:t>
            </w:r>
            <w:r>
              <w:rPr>
                <w:rFonts w:hint="eastAsia" w:ascii="宋体" w:cs="宋体"/>
                <w:b/>
                <w:bCs/>
                <w:color w:val="000000"/>
                <w:kern w:val="0"/>
                <w:sz w:val="36"/>
                <w:szCs w:val="36"/>
              </w:rPr>
              <w:br w:type="textWrapping"/>
            </w:r>
            <w:r>
              <w:rPr>
                <w:rFonts w:hint="eastAsia" w:ascii="宋体" w:cs="宋体"/>
                <w:color w:val="000000"/>
                <w:kern w:val="0"/>
                <w:sz w:val="36"/>
                <w:szCs w:val="36"/>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桥湾镇2018年度财力保障促发展项目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达州市达川区桥湾镇人民政府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7万元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7万元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4"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加大村级基础设施建设投入，改善农村基础设施状况，修建水利、道路，增强农村经济发展实力</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方便群众出行</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解决600余人出行</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已完成涉及725人的出行问题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工程标准</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严格按照工程标准执行，以监理单位验收质量为准</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已完成相关任务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完成率</w:t>
            </w:r>
            <w:r>
              <w:rPr>
                <w:rFonts w:ascii="Arial" w:hAnsi="Arial" w:cs="Arial"/>
                <w:color w:val="000000"/>
                <w:sz w:val="24"/>
              </w:rPr>
              <w:t>≥</w:t>
            </w:r>
            <w:r>
              <w:rPr>
                <w:rFonts w:hint="eastAsia" w:ascii="宋体" w:cs="宋体"/>
                <w:color w:val="00000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材料采购、人工费用、其他费用</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严格预算，最后以审计价为准、以当地人工费用标准为准、严格预算，最后以审计价为准</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严格预算，最后以审计价为准、以当地人工费用标准为准、严格预算，最后以审计价为准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为经济发展提供基础</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提升运输能力，联通产业发展圈，提高运输迅速，节约运输成本，引起产业规模扩大，增加就业人员的工资水平，提高经济发展。</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提升运输能力，联通产业发展圈，提高运输迅速，节约运输成本，引起产业规模扩大，增加就业人员的工资水平，提高经济发展。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改善出行</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方便群众出行，农产品物资运输更加方便快捷，提升物流速度，为社会提供安全便捷的运输条件。</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方便群众出行，农产品物资运输更加方便快捷，提升物流速度，为社会提供安全便捷的运输条件。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项目效益指标</w:t>
            </w:r>
            <w:r>
              <w:rPr>
                <w:rFonts w:hint="eastAsia" w:asci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 xml:space="preserve">   道路建设规划合理，不能以牺牲环保为代价。</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项目效益指标</w:t>
            </w:r>
            <w:r>
              <w:rPr>
                <w:rFonts w:hint="eastAsia" w:asci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后期经济发展</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将持续为该村提供经济发展动力</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Arial" w:hAnsi="Arial" w:cs="Arial"/>
                <w:color w:val="000000"/>
                <w:sz w:val="24"/>
              </w:rPr>
              <w:t>促进了当地经济发展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村民满意</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 xml:space="preserve">       满意度</w:t>
            </w:r>
            <w:r>
              <w:rPr>
                <w:rFonts w:ascii="Arial" w:hAnsi="Arial" w:cs="Arial"/>
                <w:color w:val="000000"/>
                <w:sz w:val="24"/>
              </w:rPr>
              <w:t>≥</w:t>
            </w:r>
            <w:r>
              <w:rPr>
                <w:rFonts w:hint="eastAsia"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已达到满意度</w:t>
            </w:r>
            <w:r>
              <w:rPr>
                <w:rFonts w:ascii="Arial" w:hAnsi="Arial" w:cs="Arial"/>
                <w:color w:val="000000"/>
                <w:sz w:val="24"/>
              </w:rPr>
              <w:t>≥</w:t>
            </w:r>
            <w:r>
              <w:rPr>
                <w:rFonts w:hint="eastAsia" w:ascii="宋体" w:cs="宋体"/>
                <w:color w:val="000000"/>
                <w:sz w:val="24"/>
              </w:rPr>
              <w:t>95%</w:t>
            </w:r>
          </w:p>
        </w:tc>
      </w:tr>
    </w:tbl>
    <w:p>
      <w:pPr>
        <w:spacing w:line="580" w:lineRule="exact"/>
        <w:ind w:left="640"/>
        <w:rPr>
          <w:rFonts w:ascii="仿宋_GB2312" w:eastAsia="仿宋_GB2312" w:cs="仿宋_GB2312"/>
          <w:sz w:val="32"/>
          <w:szCs w:val="32"/>
        </w:rPr>
      </w:pP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财力保障项安全生产监管项目绩效目标完成情况综述。项目全年预算数1万元，执行数为1万元，完成预算的100%。通过项目实施，巩固保障辖区安全，为辖区营造良好的生活投资安全氛围。发现的主要问题：一是在管理中还不是很到位，二是投入力度较大，具体人员较少。下一步改进措施：提高人人参与到管理中来，切实抓好责任管理。</w:t>
      </w:r>
    </w:p>
    <w:tbl>
      <w:tblPr>
        <w:tblStyle w:val="12"/>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60" w:type="dxa"/>
            <w:gridSpan w:val="6"/>
            <w:noWrap/>
            <w:tcMar>
              <w:top w:w="15" w:type="dxa"/>
              <w:left w:w="15" w:type="dxa"/>
              <w:right w:w="15" w:type="dxa"/>
            </w:tcMar>
            <w:vAlign w:val="center"/>
          </w:tcPr>
          <w:p>
            <w:pPr>
              <w:pStyle w:val="22"/>
              <w:widowControl/>
              <w:ind w:left="4173" w:leftChars="1310" w:hanging="1422" w:hangingChars="395"/>
              <w:textAlignment w:val="center"/>
              <w:rPr>
                <w:rFonts w:ascii="宋体" w:cs="宋体"/>
                <w:color w:val="000000"/>
                <w:sz w:val="36"/>
                <w:szCs w:val="36"/>
              </w:rPr>
            </w:pPr>
            <w:r>
              <w:rPr>
                <w:rFonts w:hint="eastAsia" w:ascii="黑体" w:eastAsia="黑体" w:cs="宋体"/>
                <w:bCs/>
                <w:color w:val="000000"/>
                <w:kern w:val="0"/>
                <w:sz w:val="36"/>
                <w:szCs w:val="36"/>
              </w:rPr>
              <w:t>项目支出绩效目标完成情况表（4）</w:t>
            </w:r>
            <w:r>
              <w:rPr>
                <w:rFonts w:hint="eastAsia" w:ascii="宋体" w:cs="宋体"/>
                <w:b/>
                <w:bCs/>
                <w:color w:val="000000"/>
                <w:kern w:val="0"/>
                <w:sz w:val="36"/>
                <w:szCs w:val="36"/>
              </w:rPr>
              <w:br w:type="textWrapping"/>
            </w:r>
            <w:r>
              <w:rPr>
                <w:rFonts w:hint="eastAsia" w:ascii="宋体" w:cs="宋体"/>
                <w:color w:val="000000"/>
                <w:kern w:val="0"/>
                <w:sz w:val="36"/>
                <w:szCs w:val="36"/>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桥湾镇财力保障-保运行-安全生产监管经费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达州市达川区桥湾镇人民政府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1万元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1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1万元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1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防范遏制生产安全事故为重点，切实落实企业主体责任、部门监管责任、党委政府领导责任，狠抓改革创新、依法治理、基础建设、专项整治和安全宣传教育，落实隐患排查治理体系、风险预防控制体系和社会共治体系建设等工作。</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学习宣传教育活动、开展打非治违和专项整治、专项排查，重点领域整治</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12次以上、6次以上、每月1次</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已完成排查12次以上、已完成宣传教育活动6次以上、对重点领域每月1次排查。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责任落实、加大宣传、狠抓整治</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明确党委政府领导责任、镇安监所监管责任、各村社区、企业主体责任体系、每月召开一次安全专项会议、每月排查一次安全隐患，对隐患进行定人定责定时整改</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已完成责任体系、每月召开一次安全专项会议、每月排查一次安全隐患，对隐患进行定人定责定时整改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完成率</w:t>
            </w:r>
            <w:r>
              <w:rPr>
                <w:rFonts w:ascii="Arial" w:hAnsi="Arial" w:cs="Arial"/>
                <w:color w:val="000000"/>
                <w:sz w:val="24"/>
              </w:rPr>
              <w:t>≥</w:t>
            </w:r>
            <w:r>
              <w:rPr>
                <w:rFonts w:hint="eastAsia" w:ascii="宋体" w:cs="宋体"/>
                <w:color w:val="00000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差旅费标准、会议培训会标准、宣传费用标准</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遵守达州市达川区差旅费有关标准、遵守达州市达川区会议费有关标准、遵守达州市达川区政府采购有关标准</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遵守达州市达川区差旅费有关标准、遵守达州市达川区会议费有关标准、遵守达州市达川区政府采购有关标准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安全零事故，为经济保驾护航</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以安全生产为主要目标，防范各类事故发生，减少各类经济成本，确保经济稳步发展。</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完成安全生产为主要目标，防范各类事故发生，减少各类经济成本，确保经济稳步发展。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有效防范和遏制各项事故发生</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及时处理相关债务，调和基层政权和债权人的关系，提升社会满意度</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为企业、群众提供一个安全的生产生活环境，保障人民群众生活财产安全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项目效益指标</w:t>
            </w:r>
            <w:r>
              <w:rPr>
                <w:rFonts w:hint="eastAsia" w:asci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 xml:space="preserve"> 不得破坏生态和损害环境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项目效益指标</w:t>
            </w:r>
            <w:r>
              <w:rPr>
                <w:rFonts w:hint="eastAsia" w:asci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政策导向</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长期保障工作平稳进行</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Arial" w:hAnsi="Arial" w:cs="Arial"/>
                <w:color w:val="000000"/>
                <w:sz w:val="24"/>
              </w:rPr>
              <w:t>长期保障工作平稳进行展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村民满意</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 xml:space="preserve">       满意度</w:t>
            </w:r>
            <w:r>
              <w:rPr>
                <w:rFonts w:ascii="Arial" w:hAnsi="Arial" w:cs="Arial"/>
                <w:color w:val="000000"/>
                <w:sz w:val="24"/>
              </w:rPr>
              <w:t>≥</w:t>
            </w:r>
            <w:r>
              <w:rPr>
                <w:rFonts w:hint="eastAsia"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已达到满意度</w:t>
            </w:r>
            <w:r>
              <w:rPr>
                <w:rFonts w:ascii="Arial" w:hAnsi="Arial" w:cs="Arial"/>
                <w:color w:val="000000"/>
                <w:sz w:val="24"/>
              </w:rPr>
              <w:t>≥</w:t>
            </w:r>
            <w:r>
              <w:rPr>
                <w:rFonts w:hint="eastAsia" w:ascii="宋体" w:cs="宋体"/>
                <w:color w:val="000000"/>
                <w:sz w:val="24"/>
              </w:rPr>
              <w:t>95%</w:t>
            </w:r>
          </w:p>
        </w:tc>
      </w:tr>
    </w:tbl>
    <w:p>
      <w:pPr>
        <w:spacing w:line="580" w:lineRule="exact"/>
        <w:ind w:firstLine="960" w:firstLineChars="300"/>
        <w:rPr>
          <w:rFonts w:ascii="仿宋_GB2312" w:eastAsia="仿宋_GB2312" w:cs="仿宋_GB2312"/>
          <w:sz w:val="32"/>
          <w:szCs w:val="32"/>
        </w:rPr>
      </w:pPr>
      <w:r>
        <w:rPr>
          <w:rFonts w:hint="eastAsia" w:ascii="仿宋_GB2312" w:eastAsia="仿宋_GB2312" w:cs="仿宋_GB2312"/>
          <w:sz w:val="32"/>
          <w:szCs w:val="32"/>
        </w:rPr>
        <w:t>5、财力保障信访、维稳、扫黄、除黑、禁毒资金项目绩效目标完成情况综述。项目全年预算数2万元，执行数为2万元，完成预算的100%。通过项目实施，维护了辖区信访、维稳等工作开展，解决了群众合理诉求，打击黄、赌、毒，扫清黑恶势力，为人民群众塑造一个安定、和谐、稳定的社会环境。发现的主要问题：一是在管理中还不是很到位，二是投入力度较大，具体人员较少。下一步改进措施：提高人人参与到管理中来，切实抓好责任管理。</w:t>
      </w:r>
    </w:p>
    <w:tbl>
      <w:tblPr>
        <w:tblStyle w:val="12"/>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60" w:type="dxa"/>
            <w:gridSpan w:val="6"/>
            <w:noWrap/>
            <w:tcMar>
              <w:top w:w="15" w:type="dxa"/>
              <w:left w:w="15" w:type="dxa"/>
              <w:right w:w="15" w:type="dxa"/>
            </w:tcMar>
            <w:vAlign w:val="center"/>
          </w:tcPr>
          <w:p>
            <w:pPr>
              <w:pStyle w:val="22"/>
              <w:widowControl/>
              <w:ind w:left="4173" w:leftChars="1310" w:hanging="1422" w:hangingChars="395"/>
              <w:textAlignment w:val="center"/>
              <w:rPr>
                <w:rFonts w:ascii="宋体" w:cs="宋体"/>
                <w:color w:val="000000"/>
                <w:sz w:val="36"/>
                <w:szCs w:val="36"/>
              </w:rPr>
            </w:pPr>
            <w:r>
              <w:rPr>
                <w:rFonts w:hint="eastAsia" w:ascii="黑体" w:eastAsia="黑体" w:cs="宋体"/>
                <w:bCs/>
                <w:color w:val="000000"/>
                <w:kern w:val="0"/>
                <w:sz w:val="36"/>
                <w:szCs w:val="36"/>
              </w:rPr>
              <w:t>项目支出绩效目标完成情况表（5）</w:t>
            </w:r>
            <w:r>
              <w:rPr>
                <w:rFonts w:hint="eastAsia" w:ascii="宋体" w:cs="宋体"/>
                <w:b/>
                <w:bCs/>
                <w:color w:val="000000"/>
                <w:kern w:val="0"/>
                <w:sz w:val="36"/>
                <w:szCs w:val="36"/>
              </w:rPr>
              <w:br w:type="textWrapping"/>
            </w:r>
            <w:r>
              <w:rPr>
                <w:rFonts w:hint="eastAsia" w:ascii="宋体" w:cs="宋体"/>
                <w:color w:val="000000"/>
                <w:kern w:val="0"/>
                <w:sz w:val="36"/>
                <w:szCs w:val="36"/>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桥湾镇2018年度信访、维稳、扫黄、除黑、禁毒资金项目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达州市达川区桥湾镇人民政府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2万元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2万元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  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解决群众合理诉求，，打击黄、赌、毒，扫清黑恶势力，为人民群众塑造一个安定、和谐、稳定的社会环境</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开展教育宣传活动、组织专项行动</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12次、3次</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已完成全年开展了宣传活动12次，组织专项行动3次。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合理诉求、扫黑除恶</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及时处理，上报，将矛盾化解在萌芽状态。及时上报线索，配合民警开展工作</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已完成相关任务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年度目标任务完成率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目标任务完成率达100%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完成率</w:t>
            </w:r>
            <w:r>
              <w:rPr>
                <w:rFonts w:ascii="Arial" w:hAnsi="Arial" w:cs="Arial"/>
                <w:color w:val="000000"/>
                <w:sz w:val="24"/>
              </w:rPr>
              <w:t>≥</w:t>
            </w:r>
            <w:r>
              <w:rPr>
                <w:rFonts w:hint="eastAsia" w:ascii="宋体" w:cs="宋体"/>
                <w:color w:val="00000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差旅费标准、会议培训会标准、会议培训会标准</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遵守达州市达川区差旅费有关标准、遵守达州市达川区会议费有关标准、遵守达州市达川区政府采购有关标准</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遵守达州市达川区差旅费有关标准、遵守达州市达川区会议费有关标准、遵守达州市达川区政府采购有关标准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经济投资环境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保护投资人的利益不受损害。确保社会平安、稳定。</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保护投资人的利益不受损害。确保社会平安、稳定。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营造良好社会风气</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合理信访，及时处置，扫黑除恶，综合治理，塑造了公平、正义、平安、和谐的社会。</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合理信访，及时处置，扫黑除恶，综合治理，塑造了公平、正义、平安、和谐的社会。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项目效益指标</w:t>
            </w:r>
            <w:r>
              <w:rPr>
                <w:rFonts w:hint="eastAsia" w:asci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生态效益指标意</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坚持绿色环保</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 xml:space="preserve"> 保障环境，不能以牺牲环境为代价</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已达到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项目效益指标</w:t>
            </w:r>
            <w:r>
              <w:rPr>
                <w:rFonts w:hint="eastAsia" w:ascii="宋体" w:cs="宋体"/>
                <w:color w:val="000000"/>
                <w:sz w:val="24"/>
              </w:rPr>
              <w:t>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政策导向</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长期保障工作平稳进行</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Arial" w:hAnsi="Arial" w:cs="Arial"/>
                <w:color w:val="000000"/>
                <w:sz w:val="24"/>
              </w:rPr>
              <w:t>已保障工作平稳进行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村民满意</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 xml:space="preserve">       满意度</w:t>
            </w:r>
            <w:r>
              <w:rPr>
                <w:rFonts w:ascii="Arial" w:hAnsi="Arial" w:cs="Arial"/>
                <w:color w:val="000000"/>
                <w:sz w:val="24"/>
              </w:rPr>
              <w:t>≥</w:t>
            </w:r>
            <w:r>
              <w:rPr>
                <w:rFonts w:hint="eastAsia"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已达到满意度</w:t>
            </w:r>
            <w:r>
              <w:rPr>
                <w:rFonts w:ascii="Arial" w:hAnsi="Arial" w:cs="Arial"/>
                <w:color w:val="000000"/>
                <w:sz w:val="24"/>
              </w:rPr>
              <w:t>≥</w:t>
            </w:r>
            <w:r>
              <w:rPr>
                <w:rFonts w:hint="eastAsia" w:ascii="宋体" w:cs="宋体"/>
                <w:color w:val="000000"/>
                <w:sz w:val="24"/>
              </w:rPr>
              <w:t>95%</w:t>
            </w:r>
          </w:p>
        </w:tc>
      </w:tr>
    </w:tbl>
    <w:p>
      <w:pPr>
        <w:spacing w:line="580" w:lineRule="exact"/>
        <w:rPr>
          <w:rFonts w:ascii="仿宋_GB2312" w:eastAsia="仿宋_GB2312" w:cs="仿宋_GB2312"/>
          <w:sz w:val="32"/>
          <w:szCs w:val="32"/>
        </w:rPr>
      </w:pPr>
    </w:p>
    <w:p>
      <w:pPr>
        <w:numPr>
          <w:ilvl w:val="0"/>
          <w:numId w:val="4"/>
        </w:numPr>
        <w:spacing w:line="580" w:lineRule="exact"/>
        <w:ind w:left="0" w:firstLine="643" w:firstLineChars="200"/>
        <w:rPr>
          <w:rFonts w:ascii="仿宋" w:eastAsia="仿宋" w:cs="仿宋_GB2312"/>
          <w:sz w:val="32"/>
          <w:szCs w:val="32"/>
        </w:rPr>
      </w:pPr>
      <w:r>
        <w:rPr>
          <w:rFonts w:hint="eastAsia" w:ascii="仿宋" w:eastAsia="仿宋" w:cs="楷体_GB2312"/>
          <w:b/>
          <w:bCs/>
          <w:sz w:val="32"/>
          <w:szCs w:val="32"/>
        </w:rPr>
        <w:t>部门开展绩效评价结果。</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本部门按要求对2018年部门整体支出绩效评价情况开展自评，《达川区桥湾镇部门2018年部门整体支出绩效评价报告》见附件。</w:t>
      </w:r>
    </w:p>
    <w:p>
      <w:pPr>
        <w:spacing w:line="600" w:lineRule="exact"/>
        <w:ind w:firstLine="800" w:firstLineChars="250"/>
        <w:outlineLvl w:val="1"/>
        <w:rPr>
          <w:rFonts w:ascii="方正小标宋简体" w:eastAsia="方正小标宋简体" w:cs="方正小标宋简体"/>
          <w:sz w:val="44"/>
          <w:szCs w:val="44"/>
        </w:rPr>
      </w:pPr>
      <w:r>
        <w:rPr>
          <w:rFonts w:hint="eastAsia" w:ascii="仿宋_GB2312" w:eastAsia="仿宋_GB2312" w:cs="仿宋_GB2312"/>
          <w:sz w:val="32"/>
          <w:szCs w:val="32"/>
        </w:rPr>
        <w:t>本部门自行组织对财力保障项目开展了绩效评价，《桥湾镇2018项目年绩效评价报告》见附件。</w:t>
      </w:r>
    </w:p>
    <w:p>
      <w:pPr>
        <w:spacing w:line="600" w:lineRule="exact"/>
        <w:ind w:firstLine="800" w:firstLineChars="250"/>
        <w:outlineLvl w:val="1"/>
        <w:rPr>
          <w:rStyle w:val="17"/>
          <w:rFonts w:ascii="黑体" w:eastAsia="黑体"/>
        </w:rPr>
      </w:pPr>
      <w:bookmarkStart w:id="50" w:name="_Toc15377221"/>
      <w:bookmarkStart w:id="51" w:name="_Toc15396612"/>
      <w:r>
        <w:rPr>
          <w:rFonts w:hint="eastAsia" w:ascii="黑体" w:eastAsia="黑体"/>
          <w:color w:val="000000"/>
          <w:sz w:val="32"/>
          <w:szCs w:val="32"/>
        </w:rPr>
        <w:t>十</w:t>
      </w:r>
      <w:r>
        <w:rPr>
          <w:rStyle w:val="17"/>
          <w:rFonts w:hint="eastAsia" w:ascii="黑体" w:eastAsia="黑体"/>
        </w:rPr>
        <w:t>一、</w:t>
      </w:r>
      <w:r>
        <w:rPr>
          <w:rStyle w:val="17"/>
          <w:rFonts w:hint="eastAsia" w:ascii="黑体" w:eastAsia="黑体"/>
          <w:b w:val="0"/>
        </w:rPr>
        <w:t>其他重要事项的情况说明</w:t>
      </w:r>
      <w:bookmarkEnd w:id="50"/>
      <w:bookmarkEnd w:id="51"/>
    </w:p>
    <w:p>
      <w:pPr>
        <w:spacing w:line="600" w:lineRule="exact"/>
        <w:ind w:firstLine="643" w:firstLineChars="200"/>
        <w:outlineLvl w:val="2"/>
        <w:rPr>
          <w:rFonts w:ascii="仿宋" w:eastAsia="仿宋"/>
          <w:color w:val="000000"/>
          <w:sz w:val="32"/>
          <w:szCs w:val="32"/>
        </w:rPr>
      </w:pPr>
      <w:bookmarkStart w:id="52" w:name="_Toc15377222"/>
      <w:r>
        <w:rPr>
          <w:rFonts w:hint="eastAsia" w:asci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8年，桥湾镇机关运行经费支出277.51万元，比</w:t>
      </w:r>
      <w:r>
        <w:rPr>
          <w:rFonts w:ascii="仿宋_GB2312" w:eastAsia="仿宋_GB2312"/>
          <w:color w:val="000000"/>
          <w:sz w:val="32"/>
          <w:szCs w:val="32"/>
        </w:rPr>
        <w:t>201</w:t>
      </w:r>
      <w:r>
        <w:rPr>
          <w:rFonts w:hint="eastAsia" w:ascii="仿宋_GB2312" w:eastAsia="仿宋_GB2312"/>
          <w:color w:val="000000"/>
          <w:sz w:val="32"/>
          <w:szCs w:val="32"/>
        </w:rPr>
        <w:t>7年增加20.47万元，增7.96</w:t>
      </w:r>
      <w:r>
        <w:rPr>
          <w:rFonts w:ascii="仿宋_GB2312" w:eastAsia="仿宋_GB2312"/>
          <w:color w:val="000000"/>
          <w:sz w:val="32"/>
          <w:szCs w:val="32"/>
        </w:rPr>
        <w:t>%</w:t>
      </w:r>
      <w:r>
        <w:rPr>
          <w:rFonts w:hint="eastAsia" w:ascii="仿宋_GB2312" w:eastAsia="仿宋_GB2312"/>
          <w:color w:val="000000"/>
          <w:sz w:val="32"/>
          <w:szCs w:val="32"/>
        </w:rPr>
        <w:t>。主要原因是脱贫攻坚工作。</w:t>
      </w:r>
    </w:p>
    <w:p>
      <w:pPr>
        <w:autoSpaceDE w:val="0"/>
        <w:autoSpaceDN w:val="0"/>
        <w:adjustRightInd w:val="0"/>
        <w:spacing w:line="600" w:lineRule="exact"/>
        <w:ind w:firstLine="643" w:firstLineChars="200"/>
        <w:jc w:val="left"/>
        <w:outlineLvl w:val="2"/>
        <w:rPr>
          <w:rFonts w:ascii="仿宋" w:eastAsia="仿宋"/>
          <w:b/>
          <w:color w:val="000000"/>
          <w:sz w:val="32"/>
          <w:szCs w:val="32"/>
        </w:rPr>
      </w:pPr>
      <w:bookmarkStart w:id="53" w:name="_Toc15377223"/>
      <w:r>
        <w:rPr>
          <w:rFonts w:hint="eastAsia" w:asci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8年，桥湾镇政府采购支出总额3.21万元，其中：政府采购货物支出3.21万元、政府采购工程支出0万元、政府采购服务支出0万元。主要用于办公设备购置。授予中小企业合同金额0万元，占政府采购支出总额的0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eastAsia="仿宋"/>
          <w:b/>
          <w:color w:val="000000"/>
          <w:sz w:val="32"/>
          <w:szCs w:val="32"/>
        </w:rPr>
      </w:pPr>
      <w:bookmarkStart w:id="54" w:name="_Toc15377224"/>
      <w:r>
        <w:rPr>
          <w:rFonts w:hint="eastAsia" w:asci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日，桥湾镇共有车辆0辆，其中：部级领导干部用车0辆、一般公务用车0辆、一般执法执勤用车0辆、特种专业技术用车0辆、其他用车0辆，单价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left="0" w:firstLine="663" w:firstLineChars="150"/>
        <w:jc w:val="center"/>
        <w:outlineLvl w:val="0"/>
        <w:rPr>
          <w:rStyle w:val="16"/>
          <w:rFonts w:ascii="黑体" w:eastAsia="黑体"/>
          <w:b w:val="0"/>
        </w:rPr>
      </w:pPr>
      <w:bookmarkStart w:id="55" w:name="_Toc15396613"/>
      <w:bookmarkStart w:id="56" w:name="_Toc15377225"/>
      <w:r>
        <w:rPr>
          <w:rFonts w:hint="eastAsia" w:ascii="黑体" w:eastAsia="黑体"/>
          <w:b/>
          <w:color w:val="000000"/>
          <w:sz w:val="44"/>
          <w:szCs w:val="44"/>
        </w:rPr>
        <w:t>名</w:t>
      </w:r>
      <w:r>
        <w:rPr>
          <w:rStyle w:val="16"/>
          <w:rFonts w:hint="eastAsia" w:ascii="黑体" w:eastAsia="黑体"/>
          <w:b w:val="0"/>
        </w:rPr>
        <w:t>词解释</w:t>
      </w:r>
      <w:bookmarkEnd w:id="55"/>
      <w:bookmarkEnd w:id="56"/>
    </w:p>
    <w:p>
      <w:pPr>
        <w:spacing w:line="600" w:lineRule="exact"/>
        <w:jc w:val="left"/>
        <w:rPr>
          <w:rFonts w:ascii="宋体"/>
          <w:b/>
          <w:color w:val="000000"/>
          <w:sz w:val="44"/>
          <w:szCs w:val="44"/>
        </w:rPr>
      </w:pPr>
    </w:p>
    <w:p>
      <w:pPr>
        <w:spacing w:line="600" w:lineRule="exact"/>
        <w:ind w:firstLine="640" w:firstLineChars="200"/>
        <w:jc w:val="left"/>
        <w:outlineLvl w:val="0"/>
        <w:rPr>
          <w:rFonts w:ascii="仿宋_GB2312" w:eastAsia="仿宋_GB2312"/>
          <w:sz w:val="32"/>
          <w:szCs w:val="32"/>
        </w:rPr>
      </w:pPr>
      <w:bookmarkStart w:id="57" w:name="_Toc15396614"/>
      <w:bookmarkStart w:id="58" w:name="_Toc15377226"/>
      <w:r>
        <w:rPr>
          <w:rFonts w:hint="eastAsia" w:ascii="仿宋_GB2312" w:eastAsia="仿宋_GB2312"/>
          <w:sz w:val="32"/>
          <w:szCs w:val="32"/>
        </w:rPr>
        <w:t>1、财政拨款收入：指区级财政当年拨付的资金。</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2、一般公共服务（类）政府办公厅（室）及相关机构事务（款）行政运行（项）：反映行政单位（包括实行公务员管理的事业单位）的基本支出。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3、 一般公共服务支出（类）政府办公厅（室）及相关机构事务（款）一般行政管理事务（项）：反应行政单位行政管理事物方面的支出。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4、一般公共服务（类）财政事务（款）行政运行（项）：反映财政方面的支出。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5、一般公共服务支出（类）纪检监察事务（款）其他纪检监察事务支出（项）：反应本单位纪检监察相关事物支出。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6、文化体育与传媒支出（类）文化（款）群众文化（项）：反映群众文化方面的支出，包括基层文化馆（站）、群众艺术馆支出等。</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 xml:space="preserve">7、文化体育与传媒支出（类）新闻出版广播影视（款）广播（项）：反映广播系统职工工资及影视方面的支出。 </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8、社会保障和就业支出（类）行政事业单位离退休（款）  机关事业单位基本养老保险缴费支出★（项）：反映机关事业单位基本养老保险缴费。</w:t>
      </w:r>
    </w:p>
    <w:p>
      <w:pPr>
        <w:spacing w:line="600" w:lineRule="exact"/>
        <w:ind w:firstLine="640" w:firstLineChars="200"/>
        <w:rPr>
          <w:rStyle w:val="14"/>
          <w:rFonts w:ascii="仿宋" w:eastAsia="仿宋"/>
          <w:b w:val="0"/>
          <w:bCs/>
          <w:color w:val="000000"/>
          <w:sz w:val="32"/>
          <w:szCs w:val="32"/>
        </w:rPr>
      </w:pPr>
      <w:r>
        <w:rPr>
          <w:rFonts w:hint="eastAsia" w:ascii="仿宋_GB2312" w:eastAsia="仿宋_GB2312"/>
          <w:sz w:val="32"/>
          <w:szCs w:val="32"/>
        </w:rPr>
        <w:t>9、社会保障和就业支出（类）行政事业单位离退休（款）机关事业单位职业年金缴费支出★（项）：反应机关事业</w:t>
      </w:r>
      <w:r>
        <w:rPr>
          <w:rStyle w:val="14"/>
          <w:rFonts w:hint="eastAsia" w:ascii="仿宋" w:eastAsia="仿宋"/>
          <w:b w:val="0"/>
          <w:bCs/>
          <w:color w:val="000000"/>
          <w:sz w:val="32"/>
          <w:szCs w:val="32"/>
        </w:rPr>
        <w:t>单位职业年金单位部分缴费情况。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10社会保障和就业支出（类）抚恤（款）死亡抚恤（项）反应机关事业单位职工死亡抚恤金安葬费等情况。</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11、社会保障和就业支出（类）抚恤（款）在镇复员、退伍军人生活补助（项）：反映复员、退伍军人领取的生活补助等方面的支出。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12、社会保障和就业支出（类）残疾人事业（款）其他残疾人事业支出（项）：主要反应残疾人专职委员相关工资福利费开支。</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 xml:space="preserve">13、社会保障和就业支出（类）抚恤（款）义务兵优待（项）：反映义务兵优待方面的支出。 </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14、社会保障和就业支出（类）特困人员救助供养★（款）农村特困人员救助供养支出★（项）：反映用于城镇五保人员的生活补助支出。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15、医疗卫生与计划生育支出（类）计划生育事务（款）计划生育机构（项）：反映卫生和计划生育部门所属计划生育机构的支出。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16、医疗卫生与计划生育支出（类）行政事业单位医疗（款）行政单位医疗（项）：反映财政部门集中安排的行政单位基本医疗保险缴费经费，未参加医疗保险的行政单位的公费医疗经费，按国家规定享受离休人员、红军老战士待遇的人员的医疗经费。</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17、医疗卫生与计划生育支出（类）行政事业单位医疗（款）事业单位医疗（项）：反映财政部门集中安排的事业单位的公费医疗经费，按国家规定享受离休人员待遇的医疗经费。</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18、医疗卫生与计划生育支出（类）行政事业单位医疗（款）公务员医疗补助★（项）：主要反映本单位公务员医疗补助缴费的情况。</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19、医疗卫生与计划生育支出（类）计划生育事务（款）其他计划生育事物支出（项）：反应计划生育机构事业单位部门等发生的支出。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20、城镇社区支出（类）城镇社区环境卫生（款）  城镇社区环境卫生（项）：主要反映本单位辖区城镇社区环境整治等费用支出。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21、城镇社区支出（类）国有土地使用权出让收入及对应专项债务收入安排的支出（款）其他国有土地使用权出让收入安排的支出（项）：反映一事一议等安排与社区建设发展的其他支出。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22、城镇社区支出（类）其他城镇社区支出（款）其他城镇社区支出（项）：反应城镇社区其他方面支出。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23、农林水支出（类）农业（款）事业运行（项）：反映用于农业事业单位基本支出，事业单位设施、系统运行与资产维护等方面的支出。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24、农林水支出（类）农业（款）农村道路建设（项）：反映对农村道路建设的补助支出。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25、农林水支出（类）扶贫（款）其他扶贫支出（项）：反映用于农村脱贫攻坚中的支出。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26、农林水支出（类）农业综合开发（款）产业化经营（项）：支出决算为10万元，主要反映农村产业发展的补助支出。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27、农林水支出（类）农村综合改革（款）对村级一事一议的补助（项）：反映农村对村级一事一议财政奖补情况的支出。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28、农林水支出（类）农村综合改革（款）对村民委员会和村支部的补助（项）：反映各级财政对村民委员会和村党支部的补助支出。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29、住房保障支出（类）住房改革支出（款）  住房公积金（项）：反映用于本镇职工住房公积金缴存等支出。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30、其他支出（类）彩票公益金及对应专项债务收入安排的支出（款）用于体育事业的彩票公益金支出（项）：反映用于本镇维修维护支出。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31、结余分配：指事业单位按规定提取的职工福利基金、事业基金和缴纳的所得税，以及建设单位按规定应交回的基本建设竣工项目结余资金。</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32、年末结转和结余：指本年度或以前年度预算安排、因客观条件发生变化无法按原计划实施，需延迟到以后年度按有关规定继续使用的资金。</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33、基本支出：指为保障机构正常运转、完成日常工作任务而发生的人员支出和公用支出。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 xml:space="preserve">34、项目支出：指在基本支出之外为完成特定行政任务和事业发展目标所发生的支出。 </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35、经营支出：指事业单位在专业业务活动及其辅助活动之外开展非独立核算经营活动发生的支出。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36、“三公”经费：纳入区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600" w:lineRule="exact"/>
        <w:ind w:firstLine="640" w:firstLineChars="200"/>
        <w:jc w:val="left"/>
        <w:outlineLvl w:val="0"/>
        <w:rPr>
          <w:rFonts w:ascii="仿宋_GB2312" w:eastAsia="仿宋_GB2312"/>
          <w:sz w:val="32"/>
          <w:szCs w:val="32"/>
        </w:rPr>
      </w:pPr>
      <w:r>
        <w:rPr>
          <w:rFonts w:hint="eastAsia" w:ascii="仿宋_GB2312" w:eastAsia="仿宋_GB2312"/>
          <w:sz w:val="32"/>
          <w:szCs w:val="32"/>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Style w:val="16"/>
          <w:rFonts w:ascii="黑体" w:eastAsia="黑体"/>
          <w:b w:val="0"/>
        </w:rPr>
      </w:pPr>
      <w:r>
        <w:rPr>
          <w:rFonts w:hint="eastAsia" w:ascii="黑体" w:eastAsia="黑体"/>
          <w:color w:val="000000"/>
          <w:sz w:val="44"/>
          <w:szCs w:val="44"/>
        </w:rPr>
        <w:t>第</w:t>
      </w:r>
      <w:r>
        <w:rPr>
          <w:rStyle w:val="16"/>
          <w:rFonts w:hint="eastAsia" w:ascii="黑体" w:eastAsia="黑体"/>
          <w:b w:val="0"/>
        </w:rPr>
        <w:t>四部分 附件</w:t>
      </w:r>
      <w:bookmarkEnd w:id="57"/>
    </w:p>
    <w:p>
      <w:pPr>
        <w:spacing w:line="600" w:lineRule="exact"/>
        <w:jc w:val="center"/>
        <w:outlineLvl w:val="0"/>
        <w:rPr>
          <w:rStyle w:val="16"/>
        </w:rPr>
      </w:pPr>
    </w:p>
    <w:p>
      <w:pPr>
        <w:pStyle w:val="3"/>
        <w:rPr>
          <w:rStyle w:val="16"/>
          <w:rFonts w:ascii="仿宋" w:eastAsia="仿宋"/>
          <w:b w:val="0"/>
          <w:bCs w:val="0"/>
          <w:sz w:val="32"/>
          <w:szCs w:val="32"/>
        </w:rPr>
      </w:pPr>
      <w:bookmarkStart w:id="59" w:name="_Toc15396615"/>
      <w:r>
        <w:rPr>
          <w:rStyle w:val="16"/>
          <w:rFonts w:hint="eastAsia" w:ascii="仿宋" w:eastAsia="仿宋"/>
          <w:b w:val="0"/>
          <w:bCs w:val="0"/>
          <w:sz w:val="32"/>
          <w:szCs w:val="32"/>
        </w:rPr>
        <w:t>附件1</w:t>
      </w:r>
      <w:bookmarkEnd w:id="59"/>
    </w:p>
    <w:p>
      <w:pPr>
        <w:spacing w:line="600" w:lineRule="exact"/>
        <w:jc w:val="center"/>
        <w:outlineLvl w:val="0"/>
        <w:rPr>
          <w:rFonts w:ascii="黑体" w:eastAsia="黑体" w:cs="方正小标宋简体"/>
          <w:sz w:val="36"/>
          <w:szCs w:val="36"/>
        </w:rPr>
      </w:pPr>
      <w:bookmarkStart w:id="60" w:name="_Toc15396616"/>
      <w:r>
        <w:rPr>
          <w:rFonts w:hint="eastAsia" w:ascii="黑体" w:eastAsia="黑体" w:cs="方正小标宋简体"/>
          <w:sz w:val="36"/>
          <w:szCs w:val="36"/>
        </w:rPr>
        <w:t>桥湾镇2018年部门整体支出绩效评价报告</w:t>
      </w:r>
      <w:bookmarkEnd w:id="60"/>
    </w:p>
    <w:p>
      <w:pPr>
        <w:spacing w:line="580" w:lineRule="exact"/>
        <w:ind w:firstLine="640" w:firstLineChars="200"/>
        <w:rPr>
          <w:rFonts w:ascii="黑体" w:eastAsia="黑体" w:cs="黑体"/>
          <w:sz w:val="32"/>
          <w:szCs w:val="32"/>
        </w:rPr>
      </w:pPr>
    </w:p>
    <w:p>
      <w:pPr>
        <w:numPr>
          <w:ilvl w:val="0"/>
          <w:numId w:val="7"/>
        </w:numPr>
        <w:spacing w:line="580" w:lineRule="exact"/>
        <w:ind w:left="0" w:firstLine="640" w:firstLineChars="200"/>
        <w:rPr>
          <w:rFonts w:ascii="黑体" w:eastAsia="黑体" w:cs="黑体"/>
          <w:sz w:val="32"/>
          <w:szCs w:val="32"/>
        </w:rPr>
      </w:pPr>
      <w:r>
        <w:rPr>
          <w:rFonts w:hint="eastAsia" w:ascii="黑体" w:eastAsia="黑体" w:cs="黑体"/>
          <w:sz w:val="32"/>
          <w:szCs w:val="32"/>
        </w:rPr>
        <w:t>部门（单位）概况</w:t>
      </w:r>
    </w:p>
    <w:p>
      <w:pPr>
        <w:spacing w:line="580" w:lineRule="exact"/>
        <w:ind w:firstLine="640" w:firstLineChars="200"/>
        <w:rPr>
          <w:rFonts w:ascii="黑体" w:eastAsia="黑体" w:cs="黑体"/>
          <w:sz w:val="32"/>
          <w:szCs w:val="32"/>
        </w:rPr>
      </w:pPr>
      <w:r>
        <w:rPr>
          <w:rFonts w:hint="eastAsia" w:ascii="仿宋" w:eastAsia="仿宋" w:cs="仿宋_GB2312"/>
          <w:sz w:val="32"/>
          <w:szCs w:val="32"/>
        </w:rPr>
        <w:t>桥湾镇政府位于达川区西部，幅面积62.3平方公里，总人口26364人（其中农业人口24706人），辖20个村、208个社、1个居民委员会，4个居民小组。桥湾镇水田17194亩，旱地15479亩，林地24398亩。农业经济主要以种植、养殖业为主。</w:t>
      </w:r>
    </w:p>
    <w:p>
      <w:pPr>
        <w:numPr>
          <w:ilvl w:val="0"/>
          <w:numId w:val="8"/>
        </w:numPr>
        <w:spacing w:line="580" w:lineRule="exact"/>
        <w:ind w:left="0" w:firstLine="640" w:firstLineChars="200"/>
        <w:rPr>
          <w:rFonts w:ascii="仿宋" w:eastAsia="仿宋" w:cs="仿宋_GB2312"/>
          <w:sz w:val="32"/>
          <w:szCs w:val="32"/>
        </w:rPr>
      </w:pPr>
      <w:r>
        <w:rPr>
          <w:rFonts w:ascii="仿宋" w:eastAsia="仿宋" w:cs="仿宋_GB2312"/>
          <w:sz w:val="32"/>
          <w:szCs w:val="32"/>
        </w:rPr>
        <w:t>机构组成。</w:t>
      </w:r>
    </w:p>
    <w:p>
      <w:pPr>
        <w:pStyle w:val="5"/>
        <w:adjustRightInd w:val="0"/>
        <w:snapToGrid w:val="0"/>
        <w:spacing w:before="93" w:beforeLines="0" w:line="578" w:lineRule="exact"/>
        <w:ind w:firstLine="668" w:firstLineChars="209"/>
        <w:rPr>
          <w:rFonts w:ascii="仿宋" w:eastAsia="仿宋" w:cs="仿宋_GB2312"/>
          <w:sz w:val="32"/>
          <w:szCs w:val="32"/>
        </w:rPr>
      </w:pPr>
      <w:r>
        <w:rPr>
          <w:rFonts w:hint="eastAsia"/>
          <w:sz w:val="32"/>
          <w:szCs w:val="32"/>
        </w:rPr>
        <w:t>桥湾镇下属二级单位5个，其中行政单位1个，其他事业单位4个。</w:t>
      </w:r>
    </w:p>
    <w:p>
      <w:pPr>
        <w:numPr>
          <w:ilvl w:val="0"/>
          <w:numId w:val="8"/>
        </w:numPr>
        <w:spacing w:line="580" w:lineRule="exact"/>
        <w:ind w:left="0" w:firstLine="640" w:firstLineChars="200"/>
        <w:rPr>
          <w:rFonts w:ascii="仿宋" w:eastAsia="仿宋" w:cs="仿宋_GB2312"/>
          <w:sz w:val="32"/>
          <w:szCs w:val="32"/>
        </w:rPr>
      </w:pPr>
      <w:r>
        <w:rPr>
          <w:rFonts w:ascii="仿宋" w:eastAsia="仿宋" w:cs="仿宋_GB2312"/>
          <w:sz w:val="32"/>
          <w:szCs w:val="32"/>
        </w:rPr>
        <w:t>机构职能。</w:t>
      </w:r>
    </w:p>
    <w:p>
      <w:pPr>
        <w:spacing w:line="578"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1、制定和组织实施经济、科技和社会发展计划，制定资源开发技术改造和产业结构调整方案，组织指导好农业生产，搞好商品流通，协调好本镇与外地区的经济交流与合作，抓好招商引资，人才引进项目开发，不断培育市场体系，组织经济运行，促进经济发展。</w:t>
      </w:r>
    </w:p>
    <w:p>
      <w:pPr>
        <w:spacing w:line="578"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2、制定并组织实施村镇建设规划，部署重点工程建设，地方道路建设及公共设施，水利设施的管理，负责土地、林木、水等自然资源和生态环境的保护，做好护林防火工作。</w:t>
      </w:r>
    </w:p>
    <w:p>
      <w:pPr>
        <w:spacing w:line="578"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3、负责本行政区域内的民政、计划生育、文化教育、卫生、体育等社会公益事业的综合性工作，维护一切经济单位和个人的正当经济权益，取缔非法经济活动，调解和处理民事纠纷，打击刑事犯罪维护社会稳定。</w:t>
      </w:r>
    </w:p>
    <w:p>
      <w:pPr>
        <w:spacing w:line="578"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4、按计划组织本级财政收入和地方税的征收，完成国家财政计划，不断培植税源，管好财政资金，增强财政实力。</w:t>
      </w:r>
    </w:p>
    <w:p>
      <w:pPr>
        <w:spacing w:line="578"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5、抓好精神文明建设，丰富群众文化生活，提倡移风易俗，反对封建迷信，破除陈规陋习，树立社会主义新风尚。</w:t>
      </w:r>
    </w:p>
    <w:p>
      <w:pPr>
        <w:spacing w:line="578"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6、完成上级政府交办的其它事项。</w:t>
      </w:r>
    </w:p>
    <w:p>
      <w:pPr>
        <w:spacing w:line="580" w:lineRule="exact"/>
        <w:ind w:firstLine="640" w:firstLineChars="200"/>
        <w:rPr>
          <w:rFonts w:ascii="仿宋" w:eastAsia="仿宋" w:cs="仿宋_GB2312"/>
          <w:sz w:val="32"/>
          <w:szCs w:val="32"/>
        </w:rPr>
      </w:pPr>
      <w:r>
        <w:rPr>
          <w:rFonts w:ascii="仿宋" w:eastAsia="仿宋" w:cs="仿宋_GB2312"/>
          <w:sz w:val="32"/>
          <w:szCs w:val="32"/>
        </w:rPr>
        <w:t>（三）人员概况。</w:t>
      </w:r>
    </w:p>
    <w:p>
      <w:pPr>
        <w:ind w:firstLine="800" w:firstLineChars="250"/>
        <w:rPr>
          <w:rFonts w:ascii="仿宋" w:eastAsia="仿宋" w:cs="仿宋_GB2312"/>
          <w:sz w:val="32"/>
          <w:szCs w:val="32"/>
        </w:rPr>
      </w:pPr>
      <w:r>
        <w:rPr>
          <w:rFonts w:hint="eastAsia" w:ascii="仿宋" w:eastAsia="仿宋"/>
          <w:sz w:val="32"/>
          <w:szCs w:val="32"/>
        </w:rPr>
        <w:t>桥湾镇编制人数36人，其中行政编制20人，事业编制16人。2018年末实有人数35人，其中行政编制20人，事业编制15人。</w:t>
      </w:r>
    </w:p>
    <w:p>
      <w:pPr>
        <w:spacing w:line="580" w:lineRule="exact"/>
        <w:ind w:firstLine="640" w:firstLineChars="200"/>
        <w:rPr>
          <w:rFonts w:ascii="黑体" w:eastAsia="黑体" w:cs="黑体"/>
          <w:sz w:val="32"/>
          <w:szCs w:val="32"/>
        </w:rPr>
      </w:pPr>
      <w:r>
        <w:rPr>
          <w:rFonts w:ascii="黑体" w:eastAsia="黑体" w:cs="黑体"/>
          <w:sz w:val="32"/>
          <w:szCs w:val="32"/>
        </w:rPr>
        <w:t>二、部门财政资金收支情况</w:t>
      </w:r>
    </w:p>
    <w:p>
      <w:pPr>
        <w:spacing w:line="580" w:lineRule="exact"/>
        <w:ind w:firstLine="640" w:firstLineChars="200"/>
        <w:rPr>
          <w:rFonts w:ascii="仿宋" w:eastAsia="仿宋" w:cs="仿宋_GB2312"/>
          <w:sz w:val="32"/>
          <w:szCs w:val="32"/>
        </w:rPr>
      </w:pPr>
      <w:r>
        <w:rPr>
          <w:rFonts w:ascii="仿宋" w:eastAsia="仿宋" w:cs="仿宋_GB2312"/>
          <w:sz w:val="32"/>
          <w:szCs w:val="32"/>
        </w:rPr>
        <w:t>（一）部门财政资金收入情况。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2018年本年收入合计1861.4万元，其中：一般公共预算财政拨款收入1830.4万元，占98.33%；政府性基金预算财政拨款收入31万元，占1.67%；国有资本经营预算财政拨款收入0万元，占0%；事业收入0万元，占0%；经营收入0万元，占0%；附属单位上缴收入0万元，占0%；其他收入0万元，占0%。</w:t>
      </w:r>
    </w:p>
    <w:p>
      <w:pPr>
        <w:numPr>
          <w:ilvl w:val="0"/>
          <w:numId w:val="8"/>
        </w:numPr>
        <w:spacing w:line="580" w:lineRule="exact"/>
        <w:ind w:left="0" w:firstLine="640" w:firstLineChars="200"/>
        <w:rPr>
          <w:rFonts w:ascii="仿宋" w:eastAsia="仿宋" w:cs="仿宋_GB2312"/>
          <w:sz w:val="32"/>
          <w:szCs w:val="32"/>
        </w:rPr>
      </w:pPr>
      <w:r>
        <w:rPr>
          <w:rFonts w:ascii="仿宋" w:eastAsia="仿宋" w:cs="仿宋_GB2312"/>
          <w:sz w:val="32"/>
          <w:szCs w:val="32"/>
        </w:rPr>
        <w:t>部门财政资金支出情况。</w:t>
      </w:r>
    </w:p>
    <w:p>
      <w:pPr>
        <w:spacing w:line="600" w:lineRule="exact"/>
        <w:ind w:firstLine="640" w:firstLineChars="200"/>
        <w:rPr>
          <w:rFonts w:ascii="仿宋" w:eastAsia="仿宋" w:cs="仿宋_GB2312"/>
          <w:sz w:val="32"/>
          <w:szCs w:val="32"/>
        </w:rPr>
      </w:pPr>
      <w:r>
        <w:rPr>
          <w:rFonts w:ascii="仿宋" w:eastAsia="仿宋"/>
          <w:color w:val="000000"/>
          <w:sz w:val="32"/>
          <w:szCs w:val="32"/>
        </w:rPr>
        <w:t>201</w:t>
      </w:r>
      <w:r>
        <w:rPr>
          <w:rFonts w:hint="eastAsia" w:ascii="仿宋" w:eastAsia="仿宋"/>
          <w:color w:val="000000"/>
          <w:sz w:val="32"/>
          <w:szCs w:val="32"/>
        </w:rPr>
        <w:t>8年本年支出合计1861.4万元，其中：本支出1414.66万元，占76</w:t>
      </w:r>
      <w:r>
        <w:rPr>
          <w:rFonts w:ascii="仿宋" w:eastAsia="仿宋"/>
          <w:color w:val="000000"/>
          <w:sz w:val="32"/>
          <w:szCs w:val="32"/>
        </w:rPr>
        <w:t>%</w:t>
      </w:r>
      <w:r>
        <w:rPr>
          <w:rFonts w:hint="eastAsia" w:ascii="仿宋" w:eastAsia="仿宋"/>
          <w:color w:val="000000"/>
          <w:sz w:val="32"/>
          <w:szCs w:val="32"/>
        </w:rPr>
        <w:t>；项目支出446.74万元，占24</w:t>
      </w:r>
      <w:r>
        <w:rPr>
          <w:rFonts w:ascii="仿宋" w:eastAsia="仿宋"/>
          <w:color w:val="000000"/>
          <w:sz w:val="32"/>
          <w:szCs w:val="32"/>
        </w:rPr>
        <w:t>%</w:t>
      </w:r>
      <w:r>
        <w:rPr>
          <w:rFonts w:hint="eastAsia" w:ascii="仿宋" w:eastAsia="仿宋"/>
          <w:color w:val="000000"/>
          <w:sz w:val="32"/>
          <w:szCs w:val="32"/>
        </w:rPr>
        <w:t>；上缴上级支出0万元，占0</w:t>
      </w:r>
      <w:r>
        <w:rPr>
          <w:rFonts w:ascii="仿宋" w:eastAsia="仿宋"/>
          <w:color w:val="000000"/>
          <w:sz w:val="32"/>
          <w:szCs w:val="32"/>
        </w:rPr>
        <w:t>%</w:t>
      </w:r>
      <w:r>
        <w:rPr>
          <w:rFonts w:hint="eastAsia" w:ascii="仿宋" w:eastAsia="仿宋"/>
          <w:color w:val="000000"/>
          <w:sz w:val="32"/>
          <w:szCs w:val="32"/>
        </w:rPr>
        <w:t>；经营支出0万元，占0</w:t>
      </w:r>
      <w:r>
        <w:rPr>
          <w:rFonts w:ascii="仿宋" w:eastAsia="仿宋"/>
          <w:color w:val="000000"/>
          <w:sz w:val="32"/>
          <w:szCs w:val="32"/>
        </w:rPr>
        <w:t>%</w:t>
      </w:r>
      <w:r>
        <w:rPr>
          <w:rFonts w:hint="eastAsia" w:ascii="仿宋" w:eastAsia="仿宋"/>
          <w:color w:val="000000"/>
          <w:sz w:val="32"/>
          <w:szCs w:val="32"/>
        </w:rPr>
        <w:t>；对附属单位补助支出0万元，占0</w:t>
      </w:r>
      <w:r>
        <w:rPr>
          <w:rFonts w:ascii="仿宋" w:eastAsia="仿宋"/>
          <w:color w:val="000000"/>
          <w:sz w:val="32"/>
          <w:szCs w:val="32"/>
        </w:rPr>
        <w:t>%</w:t>
      </w:r>
      <w:r>
        <w:rPr>
          <w:rFonts w:hint="eastAsia" w:ascii="仿宋" w:eastAsia="仿宋"/>
          <w:color w:val="000000"/>
          <w:sz w:val="32"/>
          <w:szCs w:val="32"/>
        </w:rPr>
        <w:t>。</w:t>
      </w:r>
    </w:p>
    <w:p>
      <w:pPr>
        <w:spacing w:line="580" w:lineRule="exact"/>
        <w:ind w:firstLine="640" w:firstLineChars="200"/>
        <w:rPr>
          <w:rFonts w:ascii="黑体" w:eastAsia="黑体" w:cs="黑体"/>
          <w:sz w:val="32"/>
          <w:szCs w:val="32"/>
        </w:rPr>
      </w:pPr>
      <w:r>
        <w:rPr>
          <w:rFonts w:ascii="黑体" w:eastAsia="黑体" w:cs="黑体"/>
          <w:sz w:val="32"/>
          <w:szCs w:val="32"/>
        </w:rPr>
        <w:t>三、部门整体预算绩效管理情况（根据适用指标体系进行调整）</w:t>
      </w:r>
    </w:p>
    <w:p>
      <w:pPr>
        <w:spacing w:line="580" w:lineRule="exact"/>
        <w:ind w:firstLine="640" w:firstLineChars="200"/>
        <w:rPr>
          <w:rFonts w:ascii="仿宋" w:eastAsia="仿宋" w:cs="仿宋_GB2312"/>
          <w:sz w:val="32"/>
          <w:szCs w:val="32"/>
        </w:rPr>
      </w:pPr>
      <w:r>
        <w:rPr>
          <w:rFonts w:ascii="仿宋" w:eastAsia="仿宋" w:cs="仿宋_GB2312"/>
          <w:sz w:val="32"/>
          <w:szCs w:val="32"/>
        </w:rPr>
        <w:t>（一）部门预算管理。</w:t>
      </w:r>
    </w:p>
    <w:p>
      <w:pPr>
        <w:spacing w:line="580" w:lineRule="exact"/>
        <w:ind w:firstLine="640" w:firstLineChars="200"/>
        <w:rPr>
          <w:rFonts w:ascii="仿宋" w:eastAsia="仿宋" w:cs="仿宋_GB2312"/>
          <w:sz w:val="32"/>
          <w:szCs w:val="32"/>
        </w:rPr>
      </w:pPr>
      <w:r>
        <w:rPr>
          <w:rFonts w:asci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eastAsia="仿宋" w:cs="仿宋_GB2312"/>
          <w:sz w:val="32"/>
          <w:szCs w:val="32"/>
        </w:rPr>
      </w:pPr>
      <w:r>
        <w:rPr>
          <w:rFonts w:ascii="仿宋" w:eastAsia="仿宋" w:cs="仿宋_GB2312"/>
          <w:sz w:val="32"/>
          <w:szCs w:val="32"/>
        </w:rPr>
        <w:t>（二）专项预算管理。</w:t>
      </w:r>
    </w:p>
    <w:p>
      <w:pPr>
        <w:spacing w:line="580" w:lineRule="exact"/>
        <w:ind w:firstLine="640" w:firstLineChars="200"/>
        <w:rPr>
          <w:rFonts w:ascii="仿宋" w:eastAsia="仿宋" w:cs="仿宋_GB2312"/>
          <w:sz w:val="32"/>
          <w:szCs w:val="32"/>
        </w:rPr>
      </w:pPr>
      <w:r>
        <w:rPr>
          <w:rFonts w:asci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eastAsia="仿宋" w:cs="仿宋_GB2312"/>
          <w:sz w:val="32"/>
          <w:szCs w:val="32"/>
        </w:rPr>
      </w:pPr>
      <w:r>
        <w:rPr>
          <w:rFonts w:ascii="仿宋" w:eastAsia="仿宋" w:cs="仿宋_GB2312"/>
          <w:sz w:val="32"/>
          <w:szCs w:val="32"/>
        </w:rPr>
        <w:t>（三）结果应用情况。</w:t>
      </w:r>
    </w:p>
    <w:p>
      <w:pPr>
        <w:spacing w:line="580" w:lineRule="exact"/>
        <w:ind w:firstLine="640" w:firstLineChars="200"/>
        <w:rPr>
          <w:rFonts w:ascii="仿宋" w:eastAsia="仿宋" w:cs="仿宋_GB2312"/>
          <w:sz w:val="32"/>
          <w:szCs w:val="32"/>
        </w:rPr>
      </w:pPr>
      <w:r>
        <w:rPr>
          <w:rFonts w:asci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eastAsia="黑体" w:cs="黑体"/>
          <w:sz w:val="32"/>
          <w:szCs w:val="32"/>
        </w:rPr>
      </w:pPr>
      <w:r>
        <w:rPr>
          <w:rFonts w:ascii="黑体" w:eastAsia="黑体" w:cs="黑体"/>
          <w:sz w:val="32"/>
          <w:szCs w:val="32"/>
        </w:rPr>
        <w:t>四、评价结论及建议</w:t>
      </w:r>
    </w:p>
    <w:p>
      <w:pPr>
        <w:spacing w:line="580" w:lineRule="exact"/>
        <w:ind w:firstLine="640" w:firstLineChars="200"/>
        <w:rPr>
          <w:rFonts w:ascii="仿宋" w:eastAsia="仿宋" w:cs="仿宋_GB2312"/>
          <w:sz w:val="32"/>
          <w:szCs w:val="32"/>
        </w:rPr>
      </w:pPr>
      <w:r>
        <w:rPr>
          <w:rFonts w:ascii="仿宋" w:eastAsia="仿宋" w:cs="仿宋_GB2312"/>
          <w:sz w:val="32"/>
          <w:szCs w:val="32"/>
        </w:rPr>
        <w:t>（一）评价结论。</w:t>
      </w:r>
    </w:p>
    <w:p>
      <w:pPr>
        <w:spacing w:line="580" w:lineRule="exact"/>
        <w:ind w:firstLine="640" w:firstLineChars="200"/>
        <w:rPr>
          <w:rFonts w:ascii="仿宋" w:eastAsia="仿宋" w:cs="仿宋_GB2312"/>
          <w:sz w:val="32"/>
          <w:szCs w:val="32"/>
        </w:rPr>
      </w:pPr>
      <w:r>
        <w:rPr>
          <w:rFonts w:hint="eastAsia" w:ascii="仿宋" w:eastAsia="仿宋" w:cs="仿宋"/>
          <w:sz w:val="32"/>
          <w:szCs w:val="32"/>
        </w:rPr>
        <w:t>总体看，我单位预算编制及执行决算较为准确，支出管理较为规范，财务管理制度较完善，部门整体绩效较好。部门支出绩效自评得分为100分。</w:t>
      </w:r>
    </w:p>
    <w:p>
      <w:pPr>
        <w:numPr>
          <w:ilvl w:val="0"/>
          <w:numId w:val="9"/>
        </w:numPr>
        <w:spacing w:line="580" w:lineRule="exact"/>
        <w:ind w:left="0" w:firstLine="640" w:firstLineChars="200"/>
        <w:rPr>
          <w:rFonts w:ascii="仿宋" w:eastAsia="仿宋" w:cs="仿宋_GB2312"/>
          <w:sz w:val="32"/>
          <w:szCs w:val="32"/>
        </w:rPr>
      </w:pPr>
      <w:r>
        <w:rPr>
          <w:rFonts w:ascii="仿宋" w:eastAsia="仿宋" w:cs="仿宋_GB2312"/>
          <w:sz w:val="32"/>
          <w:szCs w:val="32"/>
        </w:rPr>
        <w:t>存在问题。</w:t>
      </w:r>
    </w:p>
    <w:p>
      <w:pPr>
        <w:spacing w:line="578" w:lineRule="exact"/>
        <w:ind w:firstLine="640" w:firstLineChars="200"/>
        <w:rPr>
          <w:rFonts w:ascii="仿宋" w:eastAsia="仿宋" w:cs="仿宋"/>
          <w:sz w:val="32"/>
          <w:szCs w:val="32"/>
        </w:rPr>
      </w:pPr>
      <w:r>
        <w:rPr>
          <w:rFonts w:hint="eastAsia" w:ascii="仿宋" w:eastAsia="仿宋" w:cs="仿宋"/>
          <w:sz w:val="32"/>
          <w:szCs w:val="32"/>
        </w:rPr>
        <w:t>1、政府采购方面。政府采购方面存在等的思想，不能及时与上级沟通。</w:t>
      </w:r>
    </w:p>
    <w:p>
      <w:pPr>
        <w:spacing w:line="578" w:lineRule="exact"/>
        <w:ind w:firstLine="640" w:firstLineChars="200"/>
        <w:rPr>
          <w:rFonts w:ascii="仿宋" w:eastAsia="仿宋" w:cs="仿宋"/>
          <w:sz w:val="32"/>
          <w:szCs w:val="32"/>
        </w:rPr>
      </w:pPr>
      <w:r>
        <w:rPr>
          <w:rFonts w:hint="eastAsia" w:ascii="仿宋" w:eastAsia="仿宋" w:cs="仿宋"/>
          <w:sz w:val="32"/>
          <w:szCs w:val="32"/>
        </w:rPr>
        <w:t>2、资产管理方面。在平时工作中对资产管理的知识学习不够，经验不足。</w:t>
      </w:r>
    </w:p>
    <w:p>
      <w:pPr>
        <w:spacing w:line="578" w:lineRule="exact"/>
        <w:ind w:firstLine="640" w:firstLineChars="200"/>
        <w:rPr>
          <w:rFonts w:ascii="仿宋" w:eastAsia="仿宋" w:cs="仿宋"/>
          <w:sz w:val="32"/>
          <w:szCs w:val="32"/>
        </w:rPr>
      </w:pPr>
      <w:r>
        <w:rPr>
          <w:rFonts w:hint="eastAsia" w:ascii="仿宋" w:eastAsia="仿宋" w:cs="仿宋"/>
          <w:sz w:val="32"/>
          <w:szCs w:val="32"/>
        </w:rPr>
        <w:t>3、财务管理及会计核算方面。在工学矛盾处理不够好，就导致做账不够及时。</w:t>
      </w:r>
    </w:p>
    <w:p>
      <w:pPr>
        <w:spacing w:line="578" w:lineRule="exact"/>
        <w:ind w:firstLine="640" w:firstLineChars="200"/>
        <w:rPr>
          <w:rFonts w:ascii="仿宋" w:eastAsia="仿宋" w:cs="仿宋"/>
          <w:sz w:val="32"/>
          <w:szCs w:val="32"/>
        </w:rPr>
      </w:pPr>
      <w:r>
        <w:rPr>
          <w:rFonts w:hint="eastAsia" w:ascii="仿宋" w:eastAsia="仿宋" w:cs="仿宋"/>
          <w:sz w:val="32"/>
          <w:szCs w:val="32"/>
        </w:rPr>
        <w:t>4、人员管理方面。在平时工作中对人员管理还不是很严格，存在时紧时松的现象。</w:t>
      </w:r>
    </w:p>
    <w:p>
      <w:pPr>
        <w:spacing w:line="580" w:lineRule="exact"/>
        <w:ind w:firstLine="640" w:firstLineChars="200"/>
        <w:rPr>
          <w:rFonts w:ascii="仿宋" w:eastAsia="仿宋" w:cs="仿宋_GB2312"/>
          <w:sz w:val="32"/>
          <w:szCs w:val="32"/>
        </w:rPr>
      </w:pPr>
      <w:r>
        <w:rPr>
          <w:rFonts w:ascii="仿宋" w:eastAsia="仿宋" w:cs="仿宋_GB2312"/>
          <w:sz w:val="32"/>
          <w:szCs w:val="32"/>
        </w:rPr>
        <w:t>（三）改进建议。</w:t>
      </w:r>
    </w:p>
    <w:p>
      <w:pPr>
        <w:spacing w:line="578" w:lineRule="exact"/>
        <w:ind w:firstLine="640" w:firstLineChars="200"/>
        <w:rPr>
          <w:rFonts w:ascii="仿宋" w:eastAsia="仿宋" w:cs="仿宋"/>
          <w:sz w:val="32"/>
          <w:szCs w:val="32"/>
        </w:rPr>
      </w:pPr>
      <w:r>
        <w:rPr>
          <w:rFonts w:hint="eastAsia" w:ascii="仿宋" w:eastAsia="仿宋" w:cs="仿宋"/>
          <w:sz w:val="32"/>
          <w:szCs w:val="32"/>
        </w:rPr>
        <w:t>1、提高预算编制质量。严格按照年初的预算编制，落实好资金的分配，及时报送相关资料。</w:t>
      </w:r>
    </w:p>
    <w:p>
      <w:pPr>
        <w:spacing w:line="578" w:lineRule="exact"/>
        <w:ind w:firstLine="640" w:firstLineChars="200"/>
        <w:rPr>
          <w:rFonts w:ascii="仿宋" w:eastAsia="仿宋" w:cs="仿宋"/>
          <w:sz w:val="32"/>
          <w:szCs w:val="32"/>
        </w:rPr>
      </w:pPr>
      <w:r>
        <w:rPr>
          <w:rFonts w:hint="eastAsia" w:ascii="仿宋" w:eastAsia="仿宋" w:cs="仿宋"/>
          <w:sz w:val="32"/>
          <w:szCs w:val="32"/>
        </w:rPr>
        <w:t>2、严格执行政府采购。严格按照行政采购计划，采购程序进行采购。</w:t>
      </w:r>
    </w:p>
    <w:p>
      <w:pPr>
        <w:spacing w:line="578" w:lineRule="exact"/>
        <w:ind w:firstLine="640" w:firstLineChars="200"/>
        <w:rPr>
          <w:rFonts w:ascii="仿宋" w:eastAsia="仿宋" w:cs="仿宋"/>
          <w:sz w:val="32"/>
          <w:szCs w:val="32"/>
        </w:rPr>
      </w:pPr>
      <w:r>
        <w:rPr>
          <w:rFonts w:hint="eastAsia" w:ascii="仿宋" w:eastAsia="仿宋" w:cs="仿宋"/>
          <w:sz w:val="32"/>
          <w:szCs w:val="32"/>
        </w:rPr>
        <w:t>3、加强资产管理。加强资产管理的知识学习，严格遵守资产管理制度进行管理，并制定专人负责管理。</w:t>
      </w:r>
    </w:p>
    <w:p>
      <w:pPr>
        <w:spacing w:line="578" w:lineRule="exact"/>
        <w:ind w:firstLine="640" w:firstLineChars="200"/>
        <w:rPr>
          <w:rFonts w:ascii="仿宋" w:eastAsia="仿宋" w:cs="仿宋"/>
          <w:sz w:val="32"/>
          <w:szCs w:val="32"/>
        </w:rPr>
      </w:pPr>
      <w:r>
        <w:rPr>
          <w:rFonts w:hint="eastAsia" w:ascii="仿宋" w:eastAsia="仿宋" w:cs="仿宋"/>
          <w:sz w:val="32"/>
          <w:szCs w:val="32"/>
        </w:rPr>
        <w:t>4、强化资金财务管理。一是按月编制“银行存款余额调节表”，使单位账面余额与银行对账单余额调节相符。二是严把资金支付审核关，严格检查入账发票的准确性，核实原始凭证的完整性。</w:t>
      </w:r>
    </w:p>
    <w:p>
      <w:pPr>
        <w:spacing w:line="578" w:lineRule="exact"/>
        <w:ind w:firstLine="640" w:firstLineChars="200"/>
        <w:rPr>
          <w:rFonts w:ascii="仿宋" w:eastAsia="仿宋" w:cs="仿宋"/>
          <w:sz w:val="32"/>
          <w:szCs w:val="32"/>
        </w:rPr>
      </w:pPr>
      <w:r>
        <w:rPr>
          <w:rFonts w:hint="eastAsia" w:ascii="仿宋" w:eastAsia="仿宋" w:cs="仿宋"/>
          <w:sz w:val="32"/>
          <w:szCs w:val="32"/>
        </w:rPr>
        <w:t>5、人员管理。严格加强人员管理，坚持上下班制度，不迟到早退，遵守人员管理制度。</w:t>
      </w:r>
    </w:p>
    <w:p>
      <w:pPr>
        <w:spacing w:line="580" w:lineRule="exact"/>
        <w:ind w:firstLine="640" w:firstLineChars="200"/>
        <w:rPr>
          <w:rFonts w:ascii="仿宋_GB2312" w:eastAsia="仿宋_GB2312" w:cs="仿宋_GB2312"/>
          <w:sz w:val="32"/>
          <w:szCs w:val="32"/>
        </w:rPr>
      </w:pPr>
    </w:p>
    <w:p>
      <w:pPr>
        <w:widowControl/>
        <w:jc w:val="left"/>
        <w:rPr>
          <w:rFonts w:ascii="仿宋_GB2312" w:eastAsia="仿宋_GB2312" w:cs="仿宋_GB2312"/>
          <w:sz w:val="32"/>
          <w:szCs w:val="32"/>
        </w:rPr>
      </w:pPr>
      <w:r>
        <w:rPr>
          <w:rFonts w:ascii="仿宋_GB2312" w:eastAsia="仿宋_GB2312" w:cs="仿宋_GB2312"/>
          <w:sz w:val="32"/>
          <w:szCs w:val="32"/>
        </w:rPr>
        <w:br w:type="page"/>
      </w:r>
    </w:p>
    <w:p>
      <w:pPr>
        <w:pStyle w:val="3"/>
        <w:rPr>
          <w:rStyle w:val="16"/>
          <w:rFonts w:ascii="仿宋" w:eastAsia="仿宋"/>
          <w:b w:val="0"/>
          <w:bCs w:val="0"/>
          <w:sz w:val="32"/>
          <w:szCs w:val="32"/>
        </w:rPr>
      </w:pPr>
      <w:bookmarkStart w:id="61" w:name="_Toc15396617"/>
      <w:r>
        <w:rPr>
          <w:rStyle w:val="16"/>
          <w:rFonts w:hint="eastAsia" w:ascii="仿宋" w:eastAsia="仿宋"/>
          <w:b w:val="0"/>
          <w:bCs w:val="0"/>
          <w:sz w:val="32"/>
          <w:szCs w:val="32"/>
        </w:rPr>
        <w:t>附件2</w:t>
      </w:r>
      <w:bookmarkEnd w:id="61"/>
    </w:p>
    <w:p>
      <w:pPr>
        <w:spacing w:line="580" w:lineRule="exact"/>
        <w:jc w:val="center"/>
        <w:rPr>
          <w:rFonts w:ascii="黑体" w:eastAsia="黑体" w:cs="方正小标宋简体"/>
          <w:sz w:val="44"/>
          <w:szCs w:val="44"/>
        </w:rPr>
      </w:pPr>
      <w:r>
        <w:rPr>
          <w:rFonts w:hint="eastAsia" w:ascii="黑体" w:eastAsia="黑体" w:cs="方正小标宋简体"/>
          <w:sz w:val="44"/>
          <w:szCs w:val="44"/>
        </w:rPr>
        <w:t>2018年桥湾镇项目支出绩效评价报告</w:t>
      </w:r>
    </w:p>
    <w:p>
      <w:pPr>
        <w:spacing w:line="580" w:lineRule="exact"/>
        <w:ind w:firstLine="640" w:firstLineChars="200"/>
        <w:rPr>
          <w:rFonts w:ascii="仿宋_GB2312" w:eastAsia="仿宋_GB2312" w:cs="仿宋_GB2312"/>
          <w:sz w:val="32"/>
          <w:szCs w:val="32"/>
        </w:rPr>
      </w:pP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一</w:t>
      </w:r>
      <w:r>
        <w:rPr>
          <w:rFonts w:ascii="仿宋" w:eastAsia="仿宋" w:cs="仿宋_GB2312"/>
          <w:sz w:val="32"/>
          <w:szCs w:val="32"/>
        </w:rPr>
        <w:t>、评价工作开展及项目情况</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达川区桥湾镇2018年项目资金576.74万元，其中：保运行资金100万元，用于政府日常工作正常运转；促发展资金7万元，化债资金19万元，用于解决历年欠款；解困资金2万元，解决桥湾镇的一些困难户的救济；信访维稳资金2万元，用于全镇安全、信访、维稳。</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二</w:t>
      </w:r>
      <w:r>
        <w:rPr>
          <w:rFonts w:ascii="仿宋" w:eastAsia="仿宋" w:cs="仿宋_GB2312"/>
          <w:sz w:val="32"/>
          <w:szCs w:val="32"/>
        </w:rPr>
        <w:t>、评价结论及绩效分析</w:t>
      </w:r>
    </w:p>
    <w:p>
      <w:pPr>
        <w:spacing w:line="580" w:lineRule="exact"/>
        <w:ind w:firstLine="640" w:firstLineChars="200"/>
        <w:rPr>
          <w:rFonts w:ascii="仿宋" w:eastAsia="仿宋" w:cs="仿宋_GB2312"/>
          <w:sz w:val="32"/>
          <w:szCs w:val="32"/>
        </w:rPr>
      </w:pPr>
      <w:r>
        <w:rPr>
          <w:rFonts w:ascii="仿宋" w:eastAsia="仿宋" w:cs="仿宋_GB2312"/>
          <w:sz w:val="32"/>
          <w:szCs w:val="32"/>
        </w:rPr>
        <w:t>（一）评价结论</w:t>
      </w:r>
    </w:p>
    <w:p>
      <w:pPr>
        <w:spacing w:line="580" w:lineRule="exact"/>
        <w:ind w:firstLine="640" w:firstLineChars="200"/>
        <w:rPr>
          <w:rFonts w:ascii="仿宋" w:eastAsia="仿宋" w:cs="仿宋_GB2312"/>
          <w:sz w:val="32"/>
          <w:szCs w:val="32"/>
        </w:rPr>
      </w:pPr>
      <w:r>
        <w:rPr>
          <w:rFonts w:hint="eastAsia" w:ascii="仿宋" w:eastAsia="仿宋" w:cs="仿宋"/>
          <w:sz w:val="32"/>
          <w:szCs w:val="32"/>
        </w:rPr>
        <w:t>确保政府日常工作正常运转；进一步解决历年欠款债务，确保社会和谐，维护社会稳定；农村基础设施环境建设得到加强，改善农村生产生活条件，提高村民幸福生活指数，促进农村社会事业的发展和镇风文明水平的提高。</w:t>
      </w:r>
    </w:p>
    <w:p>
      <w:pPr>
        <w:spacing w:line="580" w:lineRule="exact"/>
        <w:ind w:firstLine="640" w:firstLineChars="200"/>
        <w:rPr>
          <w:rFonts w:ascii="仿宋" w:eastAsia="仿宋" w:cs="仿宋_GB2312"/>
          <w:sz w:val="32"/>
          <w:szCs w:val="32"/>
        </w:rPr>
      </w:pPr>
      <w:r>
        <w:rPr>
          <w:rFonts w:ascii="仿宋" w:eastAsia="仿宋" w:cs="仿宋_GB2312"/>
          <w:sz w:val="32"/>
          <w:szCs w:val="32"/>
        </w:rPr>
        <w:t>（二）绩效分析</w:t>
      </w:r>
    </w:p>
    <w:p>
      <w:pPr>
        <w:spacing w:line="580" w:lineRule="exact"/>
        <w:ind w:firstLine="640" w:firstLineChars="200"/>
        <w:rPr>
          <w:rFonts w:ascii="仿宋" w:eastAsia="仿宋" w:cs="仿宋_GB2312"/>
          <w:sz w:val="32"/>
          <w:szCs w:val="32"/>
        </w:rPr>
      </w:pPr>
      <w:bookmarkStart w:id="62" w:name="_Toc15396618"/>
      <w:r>
        <w:rPr>
          <w:rFonts w:ascii="仿宋" w:eastAsia="仿宋" w:cs="仿宋_GB2312"/>
          <w:sz w:val="32"/>
          <w:szCs w:val="32"/>
        </w:rPr>
        <w:t>1、项目决策</w:t>
      </w:r>
    </w:p>
    <w:p>
      <w:pPr>
        <w:spacing w:line="580" w:lineRule="exact"/>
        <w:ind w:firstLine="640" w:firstLineChars="200"/>
        <w:rPr>
          <w:rFonts w:ascii="仿宋" w:eastAsia="仿宋" w:cs="仿宋_GB2312"/>
          <w:sz w:val="32"/>
          <w:szCs w:val="32"/>
        </w:rPr>
      </w:pPr>
      <w:r>
        <w:rPr>
          <w:rFonts w:hint="eastAsia" w:ascii="仿宋" w:eastAsia="仿宋" w:cs="仿宋"/>
          <w:sz w:val="32"/>
          <w:szCs w:val="32"/>
        </w:rPr>
        <w:t>2018年</w:t>
      </w:r>
      <w:r>
        <w:rPr>
          <w:rFonts w:hint="eastAsia" w:ascii="仿宋" w:eastAsia="仿宋" w:cs="仿宋"/>
          <w:sz w:val="32"/>
          <w:szCs w:val="32"/>
          <w:lang w:val="zh-CN"/>
        </w:rPr>
        <w:t>项目申报严格按照上级要求明确绩效目标，控制成本，提高项目发挥作用，严格按照项目的程序进行申报，严格按照批复项目的内容，符合资金管理办法等相关规定</w:t>
      </w:r>
      <w:r>
        <w:rPr>
          <w:rFonts w:hint="eastAsia" w:ascii="仿宋" w:eastAsia="仿宋" w:cs="仿宋"/>
          <w:sz w:val="32"/>
          <w:szCs w:val="32"/>
        </w:rPr>
        <w:t>使用</w:t>
      </w:r>
      <w:r>
        <w:rPr>
          <w:rFonts w:hint="eastAsia" w:ascii="仿宋" w:eastAsia="仿宋" w:cs="仿宋"/>
          <w:sz w:val="32"/>
          <w:szCs w:val="32"/>
          <w:lang w:val="zh-CN"/>
        </w:rPr>
        <w:t>。</w:t>
      </w:r>
    </w:p>
    <w:p>
      <w:pPr>
        <w:spacing w:line="580" w:lineRule="exact"/>
        <w:ind w:firstLine="640" w:firstLineChars="200"/>
        <w:rPr>
          <w:rFonts w:ascii="仿宋" w:eastAsia="仿宋" w:cs="仿宋_GB2312"/>
          <w:sz w:val="32"/>
          <w:szCs w:val="32"/>
        </w:rPr>
      </w:pPr>
      <w:r>
        <w:rPr>
          <w:rFonts w:ascii="仿宋" w:eastAsia="仿宋" w:cs="仿宋_GB2312"/>
          <w:sz w:val="32"/>
          <w:szCs w:val="32"/>
        </w:rPr>
        <w:t>2、项目管理</w:t>
      </w:r>
    </w:p>
    <w:p>
      <w:pPr>
        <w:spacing w:line="578" w:lineRule="exact"/>
        <w:ind w:firstLine="640" w:firstLineChars="200"/>
        <w:rPr>
          <w:rFonts w:ascii="仿宋" w:eastAsia="仿宋" w:cs="仿宋_GB2312"/>
          <w:sz w:val="32"/>
          <w:szCs w:val="32"/>
        </w:rPr>
      </w:pPr>
      <w:r>
        <w:rPr>
          <w:rFonts w:hint="eastAsia" w:ascii="仿宋" w:eastAsia="仿宋" w:cs="仿宋"/>
          <w:sz w:val="32"/>
          <w:szCs w:val="32"/>
          <w:lang w:val="zh-CN"/>
        </w:rPr>
        <w:t>项目资金申报相符性项目申报内容与具体实施内容相符，且申报目标合理可行。资金分配科学合理，资金使用严格按照财务管理制度，严格财经制度管理办法约束。</w:t>
      </w:r>
    </w:p>
    <w:p>
      <w:pPr>
        <w:spacing w:line="580" w:lineRule="exact"/>
        <w:ind w:firstLine="640" w:firstLineChars="200"/>
        <w:rPr>
          <w:rFonts w:ascii="仿宋" w:eastAsia="仿宋" w:cs="仿宋_GB2312"/>
          <w:sz w:val="32"/>
          <w:szCs w:val="32"/>
        </w:rPr>
      </w:pPr>
      <w:r>
        <w:rPr>
          <w:rFonts w:ascii="仿宋" w:eastAsia="仿宋" w:cs="仿宋_GB2312"/>
          <w:sz w:val="32"/>
          <w:szCs w:val="32"/>
        </w:rPr>
        <w:t>3、项目绩效</w:t>
      </w:r>
    </w:p>
    <w:p>
      <w:pPr>
        <w:spacing w:line="578" w:lineRule="exact"/>
        <w:ind w:firstLine="640" w:firstLineChars="200"/>
        <w:rPr>
          <w:rFonts w:ascii="仿宋" w:eastAsia="仿宋" w:cs="仿宋"/>
          <w:sz w:val="32"/>
          <w:szCs w:val="32"/>
          <w:lang w:val="zh-CN"/>
        </w:rPr>
      </w:pPr>
      <w:r>
        <w:rPr>
          <w:rFonts w:hint="eastAsia" w:ascii="仿宋" w:eastAsia="仿宋" w:cs="仿宋"/>
          <w:sz w:val="32"/>
          <w:szCs w:val="32"/>
          <w:lang w:val="zh-CN"/>
        </w:rPr>
        <w:t>通过桥湾镇全体工作人员的努力下，各项工作圆满完成，</w:t>
      </w:r>
      <w:r>
        <w:rPr>
          <w:rFonts w:hint="eastAsia" w:ascii="仿宋" w:eastAsia="仿宋" w:cs="仿宋"/>
          <w:sz w:val="32"/>
          <w:szCs w:val="32"/>
        </w:rPr>
        <w:t>化解了以前的一些</w:t>
      </w:r>
      <w:r>
        <w:rPr>
          <w:rFonts w:hint="eastAsia" w:ascii="仿宋" w:eastAsia="仿宋" w:cs="仿宋"/>
          <w:sz w:val="32"/>
          <w:szCs w:val="32"/>
          <w:lang w:val="zh-CN"/>
        </w:rPr>
        <w:t>债务，促进桥湾镇脱贫攻坚中的产业发展，解决了桥湾镇的一些困难户的救济，解决了上访人员的一些实际困难，</w:t>
      </w:r>
      <w:r>
        <w:rPr>
          <w:rFonts w:hint="eastAsia" w:ascii="仿宋" w:eastAsia="仿宋" w:cs="仿宋"/>
          <w:sz w:val="32"/>
          <w:szCs w:val="32"/>
        </w:rPr>
        <w:t>确保了政府日常工作正常运转、社会和谐，维护了社会稳定。</w:t>
      </w:r>
      <w:r>
        <w:rPr>
          <w:rFonts w:hint="eastAsia" w:ascii="仿宋" w:eastAsia="仿宋" w:cs="仿宋"/>
          <w:sz w:val="32"/>
          <w:szCs w:val="32"/>
          <w:lang w:val="zh-CN"/>
        </w:rPr>
        <w:t>充分调动了民主参与，民主管理，民主管理的积极性。</w:t>
      </w:r>
    </w:p>
    <w:p>
      <w:pPr>
        <w:numPr>
          <w:ilvl w:val="0"/>
          <w:numId w:val="10"/>
        </w:numPr>
        <w:spacing w:line="580" w:lineRule="exact"/>
        <w:ind w:left="0" w:firstLine="640" w:firstLineChars="200"/>
        <w:rPr>
          <w:rFonts w:ascii="仿宋" w:eastAsia="仿宋" w:cs="仿宋_GB2312"/>
          <w:sz w:val="32"/>
          <w:szCs w:val="32"/>
        </w:rPr>
      </w:pPr>
      <w:r>
        <w:rPr>
          <w:rFonts w:ascii="仿宋" w:eastAsia="仿宋" w:cs="仿宋_GB2312"/>
          <w:sz w:val="32"/>
          <w:szCs w:val="32"/>
        </w:rPr>
        <w:t>存在主要问题</w:t>
      </w:r>
    </w:p>
    <w:p>
      <w:pPr>
        <w:spacing w:line="578" w:lineRule="exact"/>
        <w:ind w:firstLine="640" w:firstLineChars="200"/>
        <w:rPr>
          <w:rFonts w:ascii="仿宋" w:eastAsia="仿宋" w:cs="仿宋"/>
          <w:sz w:val="32"/>
          <w:szCs w:val="32"/>
          <w:lang w:val="zh-CN"/>
        </w:rPr>
      </w:pPr>
      <w:r>
        <w:rPr>
          <w:rFonts w:hint="eastAsia" w:ascii="仿宋" w:eastAsia="仿宋" w:cs="仿宋"/>
          <w:sz w:val="32"/>
          <w:szCs w:val="32"/>
        </w:rPr>
        <w:t>1、</w:t>
      </w:r>
      <w:r>
        <w:rPr>
          <w:rFonts w:hint="eastAsia" w:ascii="仿宋" w:eastAsia="仿宋" w:cs="仿宋"/>
          <w:sz w:val="32"/>
          <w:szCs w:val="32"/>
          <w:lang w:val="zh-CN"/>
        </w:rPr>
        <w:t>财政项目自评报告对于本单位来说是刚开展的一项工作，缺乏经验，资金管理制度没有完整的建立起来。</w:t>
      </w:r>
    </w:p>
    <w:p>
      <w:pPr>
        <w:spacing w:line="578" w:lineRule="exact"/>
        <w:ind w:firstLine="640" w:firstLineChars="200"/>
        <w:rPr>
          <w:rFonts w:ascii="仿宋" w:eastAsia="仿宋" w:cs="仿宋"/>
          <w:sz w:val="32"/>
          <w:szCs w:val="32"/>
          <w:lang w:val="zh-CN"/>
        </w:rPr>
      </w:pPr>
      <w:r>
        <w:rPr>
          <w:rFonts w:hint="eastAsia" w:ascii="仿宋" w:eastAsia="仿宋" w:cs="仿宋"/>
          <w:sz w:val="32"/>
          <w:szCs w:val="32"/>
        </w:rPr>
        <w:t>2、</w:t>
      </w:r>
      <w:r>
        <w:rPr>
          <w:rFonts w:hint="eastAsia" w:ascii="仿宋" w:eastAsia="仿宋" w:cs="仿宋"/>
          <w:sz w:val="32"/>
          <w:szCs w:val="32"/>
          <w:lang w:val="zh-CN"/>
        </w:rPr>
        <w:t>历年存在欠款的现象，主要是历年的一些债务较多，镇党委政府无力偿还，也没其他的收入，只有等财政拨款收入才能去偿还，有一些等靠思想，积极主动性还不够。</w:t>
      </w:r>
    </w:p>
    <w:p>
      <w:pPr>
        <w:spacing w:line="580" w:lineRule="exact"/>
        <w:ind w:firstLine="640" w:firstLineChars="200"/>
        <w:rPr>
          <w:rFonts w:ascii="仿宋" w:eastAsia="仿宋" w:cs="仿宋_GB2312"/>
          <w:sz w:val="32"/>
          <w:szCs w:val="32"/>
        </w:rPr>
      </w:pPr>
      <w:r>
        <w:rPr>
          <w:rFonts w:hint="eastAsia" w:ascii="仿宋" w:eastAsia="仿宋" w:cs="仿宋"/>
          <w:sz w:val="32"/>
          <w:szCs w:val="32"/>
        </w:rPr>
        <w:t>3、在脱贫攻坚产业发展方面上，引进来，走出去的思想不够，缺乏一些产业技术扶持，不能够很好的去真正了解一些种植、养殖技术，缺乏专业性的指导。</w:t>
      </w:r>
    </w:p>
    <w:p>
      <w:pPr>
        <w:spacing w:line="580" w:lineRule="exact"/>
        <w:ind w:firstLine="640" w:firstLineChars="200"/>
        <w:rPr>
          <w:rFonts w:ascii="仿宋" w:eastAsia="仿宋" w:cs="仿宋_GB2312"/>
          <w:sz w:val="32"/>
          <w:szCs w:val="32"/>
        </w:rPr>
      </w:pPr>
      <w:r>
        <w:rPr>
          <w:rFonts w:hint="eastAsia" w:ascii="仿宋" w:eastAsia="仿宋" w:cs="仿宋_GB2312"/>
          <w:sz w:val="32"/>
          <w:szCs w:val="32"/>
        </w:rPr>
        <w:t>四</w:t>
      </w:r>
      <w:r>
        <w:rPr>
          <w:rFonts w:ascii="仿宋" w:eastAsia="仿宋" w:cs="仿宋_GB2312"/>
          <w:sz w:val="32"/>
          <w:szCs w:val="32"/>
        </w:rPr>
        <w:t>、相关措施建议</w:t>
      </w:r>
    </w:p>
    <w:p>
      <w:pPr>
        <w:spacing w:line="578" w:lineRule="exact"/>
        <w:ind w:firstLine="640" w:firstLineChars="200"/>
        <w:rPr>
          <w:rFonts w:ascii="仿宋" w:eastAsia="仿宋" w:cs="仿宋"/>
          <w:sz w:val="32"/>
          <w:szCs w:val="32"/>
        </w:rPr>
      </w:pPr>
      <w:r>
        <w:rPr>
          <w:rFonts w:hint="eastAsia" w:ascii="仿宋" w:eastAsia="仿宋" w:cs="仿宋"/>
          <w:sz w:val="32"/>
          <w:szCs w:val="32"/>
        </w:rPr>
        <w:t>1、镇党委政府积极主动多向上级部门领导汇报，结合镇的一些现实的情况与部门领导做好沟通汇报，力争早日解决好历年的欠款。</w:t>
      </w:r>
    </w:p>
    <w:p>
      <w:pPr>
        <w:spacing w:line="578" w:lineRule="exact"/>
        <w:ind w:firstLine="640" w:firstLineChars="200"/>
        <w:rPr>
          <w:rFonts w:ascii="仿宋" w:eastAsia="仿宋" w:cs="仿宋_GB2312"/>
          <w:sz w:val="32"/>
          <w:szCs w:val="32"/>
        </w:rPr>
      </w:pPr>
      <w:r>
        <w:rPr>
          <w:rFonts w:hint="eastAsia" w:ascii="仿宋" w:eastAsia="仿宋" w:cs="仿宋"/>
          <w:sz w:val="32"/>
          <w:szCs w:val="32"/>
        </w:rPr>
        <w:t>2、加强我镇的一些技术人员的学习，多向一些产业发展的较好的镇镇组织参观学习，做到引进来，走出去的思想，打破以前的一些陈旧的思想，切实把我镇的产业提高一个新台阶。</w:t>
      </w: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Style w:val="16"/>
          <w:rFonts w:ascii="黑体" w:eastAsia="黑体"/>
          <w:b w:val="0"/>
        </w:rPr>
      </w:pPr>
      <w:r>
        <w:rPr>
          <w:rFonts w:hint="eastAsia" w:ascii="黑体" w:eastAsia="黑体"/>
          <w:color w:val="000000"/>
          <w:sz w:val="44"/>
          <w:szCs w:val="44"/>
        </w:rPr>
        <w:t>第</w:t>
      </w:r>
      <w:r>
        <w:rPr>
          <w:rStyle w:val="16"/>
          <w:rFonts w:hint="eastAsia" w:ascii="黑体" w:eastAsia="黑体"/>
          <w:b w:val="0"/>
        </w:rPr>
        <w:t>五部分 附表</w:t>
      </w:r>
      <w:bookmarkEnd w:id="58"/>
      <w:bookmarkEnd w:id="62"/>
    </w:p>
    <w:p>
      <w:pPr>
        <w:spacing w:line="600" w:lineRule="exact"/>
        <w:jc w:val="center"/>
        <w:outlineLvl w:val="0"/>
        <w:rPr>
          <w:rFonts w:ascii="仿宋" w:eastAsia="仿宋"/>
          <w:b/>
          <w:color w:val="000000"/>
          <w:sz w:val="44"/>
          <w:szCs w:val="44"/>
        </w:rPr>
      </w:pPr>
    </w:p>
    <w:p>
      <w:pPr>
        <w:pStyle w:val="3"/>
        <w:rPr>
          <w:rFonts w:ascii="仿宋" w:eastAsia="仿宋"/>
          <w:color w:val="000000"/>
        </w:rPr>
      </w:pPr>
      <w:bookmarkStart w:id="63" w:name="_Toc15396619"/>
      <w:r>
        <w:rPr>
          <w:rFonts w:hint="eastAsia" w:ascii="仿宋" w:eastAsia="仿宋"/>
          <w:b w:val="0"/>
          <w:color w:val="000000"/>
        </w:rPr>
        <w:t>一、收</w:t>
      </w:r>
      <w:r>
        <w:rPr>
          <w:rStyle w:val="17"/>
          <w:rFonts w:hint="eastAsia" w:ascii="仿宋" w:eastAsia="仿宋"/>
          <w:b w:val="0"/>
          <w:bCs w:val="0"/>
        </w:rPr>
        <w:t>入支出决算总表</w:t>
      </w:r>
      <w:bookmarkEnd w:id="63"/>
    </w:p>
    <w:p>
      <w:pPr>
        <w:pStyle w:val="3"/>
        <w:rPr>
          <w:rFonts w:ascii="仿宋" w:eastAsia="仿宋"/>
          <w:color w:val="000000"/>
        </w:rPr>
      </w:pPr>
      <w:bookmarkStart w:id="64" w:name="_Toc15396620"/>
      <w:r>
        <w:rPr>
          <w:rFonts w:hint="eastAsia" w:ascii="仿宋" w:eastAsia="仿宋"/>
          <w:b w:val="0"/>
          <w:color w:val="000000"/>
        </w:rPr>
        <w:t>二、收</w:t>
      </w:r>
      <w:r>
        <w:rPr>
          <w:rStyle w:val="17"/>
          <w:rFonts w:hint="eastAsia" w:ascii="仿宋" w:eastAsia="仿宋"/>
          <w:b w:val="0"/>
          <w:bCs w:val="0"/>
        </w:rPr>
        <w:t>入总表</w:t>
      </w:r>
      <w:bookmarkEnd w:id="64"/>
    </w:p>
    <w:p>
      <w:pPr>
        <w:pStyle w:val="3"/>
        <w:rPr>
          <w:rFonts w:ascii="仿宋" w:eastAsia="仿宋"/>
          <w:color w:val="000000"/>
        </w:rPr>
      </w:pPr>
      <w:bookmarkStart w:id="65" w:name="_Toc15396621"/>
      <w:r>
        <w:rPr>
          <w:rStyle w:val="17"/>
          <w:rFonts w:hint="eastAsia" w:ascii="仿宋" w:eastAsia="仿宋"/>
          <w:b w:val="0"/>
          <w:bCs w:val="0"/>
        </w:rPr>
        <w:t>三、</w:t>
      </w:r>
      <w:r>
        <w:rPr>
          <w:rFonts w:hint="eastAsia" w:ascii="仿宋" w:eastAsia="仿宋"/>
          <w:b w:val="0"/>
          <w:color w:val="000000"/>
        </w:rPr>
        <w:t>支</w:t>
      </w:r>
      <w:r>
        <w:rPr>
          <w:rStyle w:val="17"/>
          <w:rFonts w:hint="eastAsia" w:ascii="仿宋" w:eastAsia="仿宋"/>
          <w:b w:val="0"/>
          <w:bCs w:val="0"/>
        </w:rPr>
        <w:t>出总表</w:t>
      </w:r>
      <w:bookmarkEnd w:id="65"/>
    </w:p>
    <w:p>
      <w:pPr>
        <w:pStyle w:val="3"/>
        <w:rPr>
          <w:rFonts w:ascii="仿宋" w:eastAsia="仿宋"/>
          <w:b w:val="0"/>
          <w:color w:val="000000"/>
        </w:rPr>
      </w:pPr>
      <w:bookmarkStart w:id="66" w:name="_Toc15396622"/>
      <w:r>
        <w:rPr>
          <w:rStyle w:val="17"/>
          <w:rFonts w:hint="eastAsia" w:ascii="仿宋" w:eastAsia="仿宋"/>
          <w:b w:val="0"/>
          <w:bCs w:val="0"/>
        </w:rPr>
        <w:t>四、</w:t>
      </w:r>
      <w:r>
        <w:rPr>
          <w:rFonts w:hint="eastAsia" w:ascii="仿宋" w:eastAsia="仿宋"/>
          <w:b w:val="0"/>
          <w:color w:val="000000"/>
        </w:rPr>
        <w:t>财</w:t>
      </w:r>
      <w:r>
        <w:rPr>
          <w:rStyle w:val="17"/>
          <w:rFonts w:hint="eastAsia" w:ascii="仿宋" w:eastAsia="仿宋"/>
          <w:b w:val="0"/>
          <w:bCs w:val="0"/>
        </w:rPr>
        <w:t>政拨款收入支出决算总表</w:t>
      </w:r>
      <w:bookmarkEnd w:id="66"/>
    </w:p>
    <w:p>
      <w:pPr>
        <w:pStyle w:val="3"/>
        <w:rPr>
          <w:rFonts w:ascii="仿宋" w:eastAsia="仿宋"/>
          <w:color w:val="000000"/>
        </w:rPr>
      </w:pPr>
      <w:bookmarkStart w:id="67" w:name="_Toc15396623"/>
      <w:r>
        <w:rPr>
          <w:rStyle w:val="17"/>
          <w:rFonts w:hint="eastAsia" w:ascii="仿宋" w:eastAsia="仿宋"/>
          <w:b w:val="0"/>
          <w:bCs w:val="0"/>
        </w:rPr>
        <w:t>五、</w:t>
      </w:r>
      <w:r>
        <w:rPr>
          <w:rFonts w:hint="eastAsia" w:ascii="仿宋" w:eastAsia="仿宋"/>
          <w:b w:val="0"/>
          <w:color w:val="000000"/>
        </w:rPr>
        <w:t>财</w:t>
      </w:r>
      <w:r>
        <w:rPr>
          <w:rStyle w:val="17"/>
          <w:rFonts w:hint="eastAsia" w:ascii="仿宋" w:eastAsia="仿宋"/>
          <w:b w:val="0"/>
          <w:bCs w:val="0"/>
        </w:rPr>
        <w:t>政拨款支出决算明细表（政府经济分类科目）</w:t>
      </w:r>
      <w:bookmarkEnd w:id="67"/>
    </w:p>
    <w:p>
      <w:pPr>
        <w:pStyle w:val="3"/>
        <w:rPr>
          <w:rFonts w:ascii="仿宋" w:eastAsia="仿宋"/>
          <w:color w:val="000000"/>
        </w:rPr>
      </w:pPr>
      <w:bookmarkStart w:id="68" w:name="_Toc15396624"/>
      <w:r>
        <w:rPr>
          <w:rStyle w:val="17"/>
          <w:rFonts w:hint="eastAsia" w:ascii="仿宋" w:eastAsia="仿宋"/>
          <w:b w:val="0"/>
          <w:bCs w:val="0"/>
        </w:rPr>
        <w:t>六、</w:t>
      </w:r>
      <w:r>
        <w:rPr>
          <w:rFonts w:hint="eastAsia" w:ascii="仿宋" w:eastAsia="仿宋"/>
          <w:b w:val="0"/>
          <w:color w:val="000000"/>
        </w:rPr>
        <w:t>一</w:t>
      </w:r>
      <w:r>
        <w:rPr>
          <w:rStyle w:val="17"/>
          <w:rFonts w:hint="eastAsia" w:ascii="仿宋" w:eastAsia="仿宋"/>
          <w:b w:val="0"/>
          <w:bCs w:val="0"/>
        </w:rPr>
        <w:t>般公共预算财政拨款支出决算表</w:t>
      </w:r>
      <w:bookmarkEnd w:id="68"/>
    </w:p>
    <w:p>
      <w:pPr>
        <w:pStyle w:val="3"/>
        <w:rPr>
          <w:rFonts w:ascii="仿宋" w:eastAsia="仿宋"/>
          <w:color w:val="000000"/>
        </w:rPr>
      </w:pPr>
      <w:bookmarkStart w:id="69" w:name="_Toc15396625"/>
      <w:r>
        <w:rPr>
          <w:rStyle w:val="17"/>
          <w:rFonts w:hint="eastAsia" w:ascii="仿宋" w:eastAsia="仿宋"/>
          <w:b w:val="0"/>
          <w:bCs w:val="0"/>
        </w:rPr>
        <w:t>七、</w:t>
      </w:r>
      <w:r>
        <w:rPr>
          <w:rFonts w:hint="eastAsia" w:ascii="仿宋" w:eastAsia="仿宋"/>
          <w:b w:val="0"/>
          <w:color w:val="000000"/>
        </w:rPr>
        <w:t>一</w:t>
      </w:r>
      <w:r>
        <w:rPr>
          <w:rStyle w:val="17"/>
          <w:rFonts w:hint="eastAsia" w:ascii="仿宋" w:eastAsia="仿宋"/>
          <w:b w:val="0"/>
          <w:bCs w:val="0"/>
        </w:rPr>
        <w:t>般公共预算财政拨款支出决算明细表</w:t>
      </w:r>
      <w:bookmarkEnd w:id="69"/>
    </w:p>
    <w:p>
      <w:pPr>
        <w:pStyle w:val="3"/>
        <w:rPr>
          <w:rFonts w:ascii="仿宋" w:eastAsia="仿宋"/>
          <w:color w:val="000000"/>
        </w:rPr>
      </w:pPr>
      <w:bookmarkStart w:id="70" w:name="_Toc15396626"/>
      <w:r>
        <w:rPr>
          <w:rStyle w:val="17"/>
          <w:rFonts w:hint="eastAsia" w:ascii="仿宋" w:eastAsia="仿宋"/>
          <w:b w:val="0"/>
          <w:bCs w:val="0"/>
        </w:rPr>
        <w:t>八、</w:t>
      </w:r>
      <w:r>
        <w:rPr>
          <w:rFonts w:hint="eastAsia" w:ascii="仿宋" w:eastAsia="仿宋"/>
          <w:b w:val="0"/>
          <w:color w:val="000000"/>
        </w:rPr>
        <w:t>一</w:t>
      </w:r>
      <w:r>
        <w:rPr>
          <w:rStyle w:val="17"/>
          <w:rFonts w:hint="eastAsia" w:ascii="仿宋" w:eastAsia="仿宋"/>
          <w:b w:val="0"/>
          <w:bCs w:val="0"/>
        </w:rPr>
        <w:t>般公共预算财政拨款基本支出决算表</w:t>
      </w:r>
      <w:bookmarkEnd w:id="70"/>
    </w:p>
    <w:p>
      <w:pPr>
        <w:pStyle w:val="3"/>
        <w:rPr>
          <w:rFonts w:ascii="仿宋" w:eastAsia="仿宋"/>
          <w:color w:val="000000"/>
        </w:rPr>
      </w:pPr>
      <w:bookmarkStart w:id="71" w:name="_Toc15396627"/>
      <w:r>
        <w:rPr>
          <w:rStyle w:val="17"/>
          <w:rFonts w:hint="eastAsia" w:ascii="仿宋" w:eastAsia="仿宋"/>
          <w:b w:val="0"/>
          <w:bCs w:val="0"/>
        </w:rPr>
        <w:t>九、</w:t>
      </w:r>
      <w:r>
        <w:rPr>
          <w:rFonts w:hint="eastAsia" w:ascii="仿宋" w:eastAsia="仿宋"/>
          <w:b w:val="0"/>
          <w:color w:val="000000"/>
        </w:rPr>
        <w:t>一</w:t>
      </w:r>
      <w:r>
        <w:rPr>
          <w:rStyle w:val="17"/>
          <w:rFonts w:hint="eastAsia" w:ascii="仿宋" w:eastAsia="仿宋"/>
          <w:b w:val="0"/>
          <w:bCs w:val="0"/>
        </w:rPr>
        <w:t>般公共预算财政拨款项目支出决算表</w:t>
      </w:r>
      <w:bookmarkEnd w:id="71"/>
    </w:p>
    <w:p>
      <w:pPr>
        <w:pStyle w:val="3"/>
        <w:rPr>
          <w:rFonts w:ascii="仿宋" w:eastAsia="仿宋"/>
          <w:color w:val="000000"/>
        </w:rPr>
      </w:pPr>
      <w:bookmarkStart w:id="72" w:name="_Toc15396628"/>
      <w:r>
        <w:rPr>
          <w:rStyle w:val="17"/>
          <w:rFonts w:hint="eastAsia" w:ascii="仿宋" w:eastAsia="仿宋"/>
          <w:b w:val="0"/>
          <w:bCs w:val="0"/>
        </w:rPr>
        <w:t>十、</w:t>
      </w:r>
      <w:r>
        <w:rPr>
          <w:rFonts w:hint="eastAsia" w:ascii="仿宋" w:eastAsia="仿宋"/>
          <w:b w:val="0"/>
          <w:color w:val="000000"/>
        </w:rPr>
        <w:t>一</w:t>
      </w:r>
      <w:r>
        <w:rPr>
          <w:rStyle w:val="17"/>
          <w:rFonts w:hint="eastAsia" w:ascii="仿宋" w:eastAsia="仿宋"/>
          <w:b w:val="0"/>
          <w:bCs w:val="0"/>
        </w:rPr>
        <w:t>般公共预算财政拨款“三公”经费支出决算表</w:t>
      </w:r>
      <w:bookmarkEnd w:id="72"/>
    </w:p>
    <w:p>
      <w:pPr>
        <w:pStyle w:val="3"/>
        <w:rPr>
          <w:rFonts w:ascii="仿宋" w:eastAsia="仿宋"/>
          <w:color w:val="000000"/>
        </w:rPr>
      </w:pPr>
      <w:bookmarkStart w:id="73" w:name="_Toc15396629"/>
      <w:r>
        <w:rPr>
          <w:rStyle w:val="17"/>
          <w:rFonts w:hint="eastAsia" w:ascii="仿宋" w:eastAsia="仿宋"/>
          <w:b w:val="0"/>
          <w:bCs w:val="0"/>
        </w:rPr>
        <w:t>十一、</w:t>
      </w:r>
      <w:r>
        <w:rPr>
          <w:rFonts w:hint="eastAsia" w:ascii="仿宋" w:eastAsia="仿宋"/>
          <w:b w:val="0"/>
          <w:color w:val="000000"/>
        </w:rPr>
        <w:t>政</w:t>
      </w:r>
      <w:r>
        <w:rPr>
          <w:rStyle w:val="17"/>
          <w:rFonts w:hint="eastAsia" w:ascii="仿宋" w:eastAsia="仿宋"/>
          <w:b w:val="0"/>
          <w:bCs w:val="0"/>
        </w:rPr>
        <w:t>府性基金预算财政拨款收入支出决算表</w:t>
      </w:r>
      <w:bookmarkEnd w:id="73"/>
    </w:p>
    <w:p>
      <w:pPr>
        <w:pStyle w:val="3"/>
        <w:rPr>
          <w:rFonts w:ascii="仿宋" w:eastAsia="仿宋"/>
          <w:color w:val="000000"/>
        </w:rPr>
      </w:pPr>
      <w:bookmarkStart w:id="74" w:name="_Toc15396630"/>
      <w:r>
        <w:rPr>
          <w:rStyle w:val="17"/>
          <w:rFonts w:hint="eastAsia" w:ascii="仿宋" w:eastAsia="仿宋"/>
          <w:b w:val="0"/>
          <w:bCs w:val="0"/>
        </w:rPr>
        <w:t>十二、</w:t>
      </w:r>
      <w:r>
        <w:rPr>
          <w:rFonts w:hint="eastAsia" w:ascii="仿宋" w:eastAsia="仿宋"/>
          <w:b w:val="0"/>
          <w:color w:val="000000"/>
        </w:rPr>
        <w:t>政</w:t>
      </w:r>
      <w:r>
        <w:rPr>
          <w:rStyle w:val="17"/>
          <w:rFonts w:hint="eastAsia" w:ascii="仿宋" w:eastAsia="仿宋"/>
          <w:b w:val="0"/>
          <w:bCs w:val="0"/>
        </w:rPr>
        <w:t>府性基金预算财政拨款“三公”经费支出决算表</w:t>
      </w:r>
      <w:bookmarkEnd w:id="74"/>
    </w:p>
    <w:p>
      <w:pPr>
        <w:pStyle w:val="3"/>
        <w:rPr>
          <w:rFonts w:ascii="仿宋" w:eastAsia="仿宋"/>
          <w:color w:val="000000"/>
        </w:rPr>
      </w:pPr>
      <w:bookmarkStart w:id="75" w:name="_Toc15396631"/>
      <w:r>
        <w:rPr>
          <w:rStyle w:val="17"/>
          <w:rFonts w:hint="eastAsia" w:ascii="仿宋" w:eastAsia="仿宋"/>
          <w:b w:val="0"/>
          <w:bCs w:val="0"/>
        </w:rPr>
        <w:t>十三、</w:t>
      </w:r>
      <w:r>
        <w:rPr>
          <w:rFonts w:hint="eastAsia" w:ascii="仿宋" w:eastAsia="仿宋"/>
          <w:b w:val="0"/>
          <w:color w:val="000000"/>
        </w:rPr>
        <w:t>国</w:t>
      </w:r>
      <w:r>
        <w:rPr>
          <w:rStyle w:val="17"/>
          <w:rFonts w:hint="eastAsia" w:asci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0828139"/>
    </w:sdtPr>
    <w:sdtContent>
      <w:p>
        <w:pPr>
          <w:pStyle w:val="8"/>
          <w:jc w:val="center"/>
        </w:pPr>
        <w:r>
          <w:fldChar w:fldCharType="begin"/>
        </w:r>
        <w:r>
          <w:instrText xml:space="preserve">PAGE   \* MERGEFORMAT</w:instrText>
        </w:r>
        <w:r>
          <w:fldChar w:fldCharType="separate"/>
        </w:r>
        <w:r>
          <w:rPr>
            <w:lang w:val="zh-CN"/>
          </w:rPr>
          <w:t>37</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FFE38"/>
    <w:multiLevelType w:val="singleLevel"/>
    <w:tmpl w:val="951FFE38"/>
    <w:lvl w:ilvl="0" w:tentative="0">
      <w:start w:val="1"/>
      <w:numFmt w:val="chineseCounting"/>
      <w:suff w:val="nothing"/>
      <w:lvlText w:val="%1、"/>
      <w:lvlJc w:val="left"/>
      <w:pPr>
        <w:tabs>
          <w:tab w:val="left" w:pos="0"/>
        </w:tabs>
        <w:ind w:left="0" w:firstLine="0"/>
      </w:pPr>
      <w:rPr>
        <w:rFonts w:hint="eastAsia"/>
      </w:rPr>
    </w:lvl>
  </w:abstractNum>
  <w:abstractNum w:abstractNumId="1">
    <w:nsid w:val="B3A20A1E"/>
    <w:multiLevelType w:val="singleLevel"/>
    <w:tmpl w:val="B3A20A1E"/>
    <w:lvl w:ilvl="0" w:tentative="0">
      <w:start w:val="1"/>
      <w:numFmt w:val="chineseCounting"/>
      <w:suff w:val="nothing"/>
      <w:lvlText w:val="%1、"/>
      <w:lvlJc w:val="left"/>
      <w:pPr>
        <w:tabs>
          <w:tab w:val="left" w:pos="0"/>
        </w:tabs>
        <w:ind w:left="0" w:firstLine="0"/>
      </w:pPr>
      <w:rPr>
        <w:rFonts w:hint="eastAsia"/>
      </w:rPr>
    </w:lvl>
  </w:abstractNum>
  <w:abstractNum w:abstractNumId="2">
    <w:nsid w:val="CF652CEC"/>
    <w:multiLevelType w:val="singleLevel"/>
    <w:tmpl w:val="CF652CEC"/>
    <w:lvl w:ilvl="0" w:tentative="0">
      <w:start w:val="9"/>
      <w:numFmt w:val="chineseCounting"/>
      <w:suff w:val="nothing"/>
      <w:lvlText w:val="%1、"/>
      <w:lvlJc w:val="left"/>
      <w:pPr>
        <w:tabs>
          <w:tab w:val="left" w:pos="0"/>
        </w:tabs>
        <w:ind w:left="0" w:firstLine="0"/>
      </w:pPr>
      <w:rPr>
        <w:rFonts w:hint="eastAsia"/>
      </w:rPr>
    </w:lvl>
  </w:abstractNum>
  <w:abstractNum w:abstractNumId="3">
    <w:nsid w:val="E2FA047D"/>
    <w:multiLevelType w:val="singleLevel"/>
    <w:tmpl w:val="E2FA047D"/>
    <w:lvl w:ilvl="0" w:tentative="0">
      <w:start w:val="3"/>
      <w:numFmt w:val="chineseCounting"/>
      <w:suff w:val="space"/>
      <w:lvlText w:val="第%1部分"/>
      <w:lvlJc w:val="left"/>
      <w:pPr>
        <w:tabs>
          <w:tab w:val="left" w:pos="0"/>
        </w:tabs>
        <w:ind w:left="0" w:firstLine="0"/>
      </w:pPr>
      <w:rPr>
        <w:rFonts w:hint="eastAsia"/>
      </w:rPr>
    </w:lvl>
  </w:abstractNum>
  <w:abstractNum w:abstractNumId="4">
    <w:nsid w:val="EC0BEF30"/>
    <w:multiLevelType w:val="singleLevel"/>
    <w:tmpl w:val="EC0BEF30"/>
    <w:lvl w:ilvl="0" w:tentative="0">
      <w:start w:val="1"/>
      <w:numFmt w:val="chineseCounting"/>
      <w:suff w:val="nothing"/>
      <w:lvlText w:val="（%1）"/>
      <w:lvlJc w:val="left"/>
      <w:pPr>
        <w:tabs>
          <w:tab w:val="left" w:pos="0"/>
        </w:tabs>
        <w:ind w:left="0" w:firstLine="0"/>
      </w:pPr>
      <w:rPr>
        <w:rFonts w:hint="eastAsia" w:ascii="楷体_GB2312" w:hAnsi="楷体_GB2312" w:eastAsia="楷体_GB2312" w:cs="楷体_GB2312"/>
        <w:b/>
        <w:bCs/>
        <w:sz w:val="32"/>
        <w:szCs w:val="32"/>
      </w:rPr>
    </w:lvl>
  </w:abstractNum>
  <w:abstractNum w:abstractNumId="5">
    <w:nsid w:val="0633A94B"/>
    <w:multiLevelType w:val="singleLevel"/>
    <w:tmpl w:val="0633A94B"/>
    <w:lvl w:ilvl="0" w:tentative="0">
      <w:start w:val="2"/>
      <w:numFmt w:val="chineseCounting"/>
      <w:suff w:val="nothing"/>
      <w:lvlText w:val="（%1）"/>
      <w:lvlJc w:val="left"/>
      <w:pPr>
        <w:tabs>
          <w:tab w:val="left" w:pos="0"/>
        </w:tabs>
        <w:ind w:left="0" w:firstLine="0"/>
      </w:pPr>
      <w:rPr>
        <w:rFonts w:hint="eastAsia"/>
      </w:rPr>
    </w:lvl>
  </w:abstractNum>
  <w:abstractNum w:abstractNumId="6">
    <w:nsid w:val="1272550B"/>
    <w:multiLevelType w:val="multilevel"/>
    <w:tmpl w:val="1272550B"/>
    <w:lvl w:ilvl="0" w:tentative="0">
      <w:start w:val="1"/>
      <w:numFmt w:val="japaneseCounting"/>
      <w:lvlText w:val="%1、"/>
      <w:lvlJc w:val="left"/>
      <w:pPr>
        <w:tabs>
          <w:tab w:val="left" w:pos="0"/>
        </w:tabs>
        <w:ind w:left="1360" w:hanging="720"/>
      </w:pPr>
      <w:rPr>
        <w:rFonts w:hint="default"/>
        <w:b w:val="0"/>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7">
    <w:nsid w:val="13CBB5C7"/>
    <w:multiLevelType w:val="singleLevel"/>
    <w:tmpl w:val="13CBB5C7"/>
    <w:lvl w:ilvl="0" w:tentative="0">
      <w:start w:val="1"/>
      <w:numFmt w:val="decimal"/>
      <w:suff w:val="nothing"/>
      <w:lvlText w:val="%1、"/>
      <w:lvlJc w:val="left"/>
      <w:pPr>
        <w:tabs>
          <w:tab w:val="left" w:pos="0"/>
        </w:tabs>
        <w:ind w:left="0" w:firstLine="0"/>
      </w:pPr>
    </w:lvl>
  </w:abstractNum>
  <w:abstractNum w:abstractNumId="8">
    <w:nsid w:val="17F426B7"/>
    <w:multiLevelType w:val="multilevel"/>
    <w:tmpl w:val="17F426B7"/>
    <w:lvl w:ilvl="0" w:tentative="0">
      <w:start w:val="10"/>
      <w:numFmt w:val="japaneseCounting"/>
      <w:lvlText w:val="%1、"/>
      <w:lvlJc w:val="left"/>
      <w:pPr>
        <w:tabs>
          <w:tab w:val="left" w:pos="0"/>
        </w:tabs>
        <w:ind w:left="1429" w:hanging="720"/>
      </w:pPr>
      <w:rPr>
        <w:rFonts w:hint="default"/>
      </w:rPr>
    </w:lvl>
    <w:lvl w:ilvl="1" w:tentative="0">
      <w:start w:val="1"/>
      <w:numFmt w:val="lowerLetter"/>
      <w:lvlText w:val="%2)"/>
      <w:lvlJc w:val="left"/>
      <w:pPr>
        <w:tabs>
          <w:tab w:val="left" w:pos="0"/>
        </w:tabs>
        <w:ind w:left="1549" w:hanging="420"/>
      </w:pPr>
    </w:lvl>
    <w:lvl w:ilvl="2" w:tentative="0">
      <w:start w:val="1"/>
      <w:numFmt w:val="lowerRoman"/>
      <w:lvlText w:val="%3."/>
      <w:lvlJc w:val="right"/>
      <w:pPr>
        <w:tabs>
          <w:tab w:val="left" w:pos="0"/>
        </w:tabs>
        <w:ind w:left="1969" w:hanging="420"/>
      </w:pPr>
    </w:lvl>
    <w:lvl w:ilvl="3" w:tentative="0">
      <w:start w:val="1"/>
      <w:numFmt w:val="decimal"/>
      <w:lvlText w:val="%4."/>
      <w:lvlJc w:val="left"/>
      <w:pPr>
        <w:tabs>
          <w:tab w:val="left" w:pos="0"/>
        </w:tabs>
        <w:ind w:left="2389" w:hanging="420"/>
      </w:pPr>
    </w:lvl>
    <w:lvl w:ilvl="4" w:tentative="0">
      <w:start w:val="1"/>
      <w:numFmt w:val="lowerLetter"/>
      <w:lvlText w:val="%5)"/>
      <w:lvlJc w:val="left"/>
      <w:pPr>
        <w:tabs>
          <w:tab w:val="left" w:pos="0"/>
        </w:tabs>
        <w:ind w:left="2809" w:hanging="420"/>
      </w:pPr>
    </w:lvl>
    <w:lvl w:ilvl="5" w:tentative="0">
      <w:start w:val="1"/>
      <w:numFmt w:val="lowerRoman"/>
      <w:lvlText w:val="%6."/>
      <w:lvlJc w:val="right"/>
      <w:pPr>
        <w:tabs>
          <w:tab w:val="left" w:pos="0"/>
        </w:tabs>
        <w:ind w:left="3229" w:hanging="420"/>
      </w:pPr>
    </w:lvl>
    <w:lvl w:ilvl="6" w:tentative="0">
      <w:start w:val="1"/>
      <w:numFmt w:val="decimal"/>
      <w:lvlText w:val="%7."/>
      <w:lvlJc w:val="left"/>
      <w:pPr>
        <w:tabs>
          <w:tab w:val="left" w:pos="0"/>
        </w:tabs>
        <w:ind w:left="3649" w:hanging="420"/>
      </w:pPr>
    </w:lvl>
    <w:lvl w:ilvl="7" w:tentative="0">
      <w:start w:val="1"/>
      <w:numFmt w:val="lowerLetter"/>
      <w:lvlText w:val="%8)"/>
      <w:lvlJc w:val="left"/>
      <w:pPr>
        <w:tabs>
          <w:tab w:val="left" w:pos="0"/>
        </w:tabs>
        <w:ind w:left="4069" w:hanging="420"/>
      </w:pPr>
    </w:lvl>
    <w:lvl w:ilvl="8" w:tentative="0">
      <w:start w:val="1"/>
      <w:numFmt w:val="lowerRoman"/>
      <w:lvlText w:val="%9."/>
      <w:lvlJc w:val="right"/>
      <w:pPr>
        <w:tabs>
          <w:tab w:val="left" w:pos="0"/>
        </w:tabs>
        <w:ind w:left="4489" w:hanging="420"/>
      </w:pPr>
    </w:lvl>
  </w:abstractNum>
  <w:abstractNum w:abstractNumId="9">
    <w:nsid w:val="1A500BBD"/>
    <w:multiLevelType w:val="singleLevel"/>
    <w:tmpl w:val="1A500BBD"/>
    <w:lvl w:ilvl="0" w:tentative="0">
      <w:start w:val="1"/>
      <w:numFmt w:val="chineseCounting"/>
      <w:suff w:val="nothing"/>
      <w:lvlText w:val="（%1）"/>
      <w:lvlJc w:val="left"/>
      <w:pPr>
        <w:tabs>
          <w:tab w:val="left" w:pos="0"/>
        </w:tabs>
        <w:ind w:left="0" w:firstLine="0"/>
      </w:pPr>
      <w:rPr>
        <w:rFonts w:hint="eastAsia"/>
      </w:rPr>
    </w:lvl>
  </w:abstractNum>
  <w:num w:numId="1">
    <w:abstractNumId w:val="6"/>
  </w:num>
  <w:num w:numId="2">
    <w:abstractNumId w:val="2"/>
  </w:num>
  <w:num w:numId="3">
    <w:abstractNumId w:val="8"/>
  </w:num>
  <w:num w:numId="4">
    <w:abstractNumId w:val="4"/>
  </w:num>
  <w:num w:numId="5">
    <w:abstractNumId w:val="7"/>
  </w:num>
  <w:num w:numId="6">
    <w:abstractNumId w:val="3"/>
  </w:num>
  <w:num w:numId="7">
    <w:abstractNumId w:val="1"/>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04AC33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13">
    <w:name w:val="Default Paragraph Font"/>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Body Text"/>
    <w:basedOn w:val="1"/>
    <w:uiPriority w:val="0"/>
    <w:pPr>
      <w:spacing w:before="30" w:beforeLines="30"/>
    </w:pPr>
    <w:rPr>
      <w:rFonts w:ascii="仿宋_GB2312" w:eastAsia="仿宋_GB2312"/>
      <w:kern w:val="0"/>
      <w:sz w:val="30"/>
    </w:rPr>
  </w:style>
  <w:style w:type="paragraph" w:styleId="6">
    <w:name w:val="toc 3"/>
    <w:basedOn w:val="1"/>
    <w:next w:val="1"/>
    <w:uiPriority w:val="0"/>
    <w:pPr>
      <w:tabs>
        <w:tab w:val="right" w:leader="dot" w:pos="8296"/>
      </w:tabs>
      <w:ind w:left="400" w:leftChars="400"/>
    </w:pPr>
  </w:style>
  <w:style w:type="paragraph" w:styleId="7">
    <w:name w:val="Balloon Text"/>
    <w:basedOn w:val="1"/>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iPriority w:val="0"/>
    <w:pPr>
      <w:tabs>
        <w:tab w:val="right" w:leader="dot" w:pos="8296"/>
      </w:tabs>
      <w:spacing w:before="93"/>
      <w:jc w:val="center"/>
    </w:pPr>
    <w:rPr>
      <w:rFonts w:ascii="仿宋" w:eastAsia="仿宋"/>
      <w:sz w:val="28"/>
      <w:szCs w:val="28"/>
    </w:rPr>
  </w:style>
  <w:style w:type="paragraph" w:styleId="11">
    <w:name w:val="toc 2"/>
    <w:basedOn w:val="1"/>
    <w:next w:val="1"/>
    <w:uiPriority w:val="0"/>
    <w:pPr>
      <w:tabs>
        <w:tab w:val="right" w:leader="dot" w:pos="8296"/>
      </w:tabs>
      <w:ind w:left="200" w:leftChars="200"/>
    </w:pPr>
  </w:style>
  <w:style w:type="character" w:styleId="14">
    <w:name w:val="Strong"/>
    <w:basedOn w:val="13"/>
    <w:uiPriority w:val="0"/>
    <w:rPr>
      <w:b/>
    </w:rPr>
  </w:style>
  <w:style w:type="character" w:styleId="15">
    <w:name w:val="Hyperlink"/>
    <w:basedOn w:val="13"/>
    <w:qFormat/>
    <w:uiPriority w:val="0"/>
    <w:rPr>
      <w:color w:val="0000FF"/>
      <w:u w:val="single"/>
    </w:rPr>
  </w:style>
  <w:style w:type="character" w:customStyle="1" w:styleId="16">
    <w:name w:val="heading 1 Char"/>
    <w:basedOn w:val="13"/>
    <w:link w:val="2"/>
    <w:uiPriority w:val="0"/>
    <w:rPr>
      <w:rFonts w:ascii="Times New Roman" w:hAnsi="Times New Roman" w:eastAsia="宋体" w:cs="Times New Roman"/>
      <w:b/>
      <w:bCs/>
      <w:kern w:val="44"/>
      <w:sz w:val="44"/>
      <w:szCs w:val="44"/>
      <w:lang w:val="en-US" w:eastAsia="zh-CN" w:bidi="ar-SA"/>
    </w:rPr>
  </w:style>
  <w:style w:type="character" w:customStyle="1" w:styleId="17">
    <w:name w:val="heading 2 Char"/>
    <w:basedOn w:val="13"/>
    <w:link w:val="3"/>
    <w:qFormat/>
    <w:uiPriority w:val="0"/>
    <w:rPr>
      <w:rFonts w:ascii="Cambria" w:hAnsi="Cambria" w:eastAsia="宋体" w:cs="Times New Roman"/>
      <w:b/>
      <w:bCs/>
      <w:kern w:val="2"/>
      <w:sz w:val="32"/>
      <w:szCs w:val="32"/>
      <w:lang w:val="en-US" w:eastAsia="zh-CN" w:bidi="ar-SA"/>
    </w:rPr>
  </w:style>
  <w:style w:type="character" w:customStyle="1" w:styleId="18">
    <w:name w:val="Header Char"/>
    <w:basedOn w:val="13"/>
    <w:uiPriority w:val="0"/>
    <w:rPr>
      <w:rFonts w:ascii="Times New Roman" w:hAnsi="Times New Roman"/>
      <w:sz w:val="18"/>
      <w:szCs w:val="18"/>
    </w:rPr>
  </w:style>
  <w:style w:type="character" w:customStyle="1" w:styleId="19">
    <w:name w:val="Footer Char"/>
    <w:basedOn w:val="13"/>
    <w:qFormat/>
    <w:uiPriority w:val="0"/>
    <w:rPr>
      <w:rFonts w:ascii="Times New Roman" w:hAnsi="Times New Roman"/>
      <w:sz w:val="18"/>
      <w:szCs w:val="18"/>
    </w:rPr>
  </w:style>
  <w:style w:type="character" w:customStyle="1" w:styleId="20">
    <w:name w:val="Body Text Char"/>
    <w:basedOn w:val="13"/>
    <w:uiPriority w:val="0"/>
    <w:rPr>
      <w:rFonts w:ascii="Times New Roman" w:hAnsi="Times New Roman"/>
      <w:szCs w:val="24"/>
    </w:rPr>
  </w:style>
  <w:style w:type="paragraph" w:customStyle="1" w:styleId="2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2">
    <w:name w:val="列出段落1"/>
    <w:basedOn w:val="1"/>
    <w:uiPriority w:val="0"/>
    <w:pPr>
      <w:ind w:firstLine="200" w:firstLineChars="200"/>
    </w:pPr>
  </w:style>
  <w:style w:type="paragraph" w:customStyle="1" w:styleId="23">
    <w:name w:val="TOC 标题1"/>
    <w:basedOn w:val="2"/>
    <w:next w:val="1"/>
    <w:uiPriority w:val="0"/>
    <w:pPr>
      <w:keepNext/>
      <w:keepLines/>
      <w:widowControl/>
      <w:spacing w:before="480" w:after="0" w:line="276" w:lineRule="auto"/>
      <w:jc w:val="left"/>
      <w:outlineLvl w:val="9"/>
    </w:pPr>
    <w:rPr>
      <w:rFonts w:ascii="Cambria" w:hAnsi="Cambria" w:eastAsia="宋体" w:cs="Times New Roman"/>
      <w:color w:val="3660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42</Pages>
  <Words>15450</Words>
  <Characters>16450</Characters>
  <Lines>1338</Lines>
  <Paragraphs>596</Paragraphs>
  <TotalTime>8</TotalTime>
  <ScaleCrop>false</ScaleCrop>
  <LinksUpToDate>false</LinksUpToDate>
  <CharactersWithSpaces>16611</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lenovo</cp:lastModifiedBy>
  <cp:lastPrinted>2019-08-01T00:48:00Z</cp:lastPrinted>
  <dcterms:modified xsi:type="dcterms:W3CDTF">2022-03-10T08:28:06Z</dcterms:modified>
  <dc:title>四川省***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880232BB04AB4F6283F4A4D060363302</vt:lpwstr>
  </property>
</Properties>
</file>