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_GBK" w:eastAsia="方正小标宋_GBK"/>
          <w:color w:val="000000"/>
          <w:sz w:val="72"/>
          <w:szCs w:val="72"/>
        </w:rPr>
      </w:pPr>
      <w:bookmarkStart w:id="2" w:name="_Toc15377193"/>
      <w:bookmarkStart w:id="3" w:name="_Toc15377425"/>
      <w:bookmarkStart w:id="4" w:name="_Toc15396475"/>
      <w:bookmarkStart w:id="5" w:name="_Toc15378441"/>
      <w:bookmarkStart w:id="6" w:name="_Toc15396597"/>
      <w:r>
        <w:rPr>
          <w:rFonts w:ascii="方正小标宋_GBK" w:eastAsia="方正小标宋_GBK"/>
          <w:color w:val="000000"/>
          <w:sz w:val="72"/>
          <w:szCs w:val="72"/>
        </w:rPr>
        <w:t>2019</w:t>
      </w:r>
      <w:r>
        <w:rPr>
          <w:rFonts w:ascii="方正小标宋_GBK" w:eastAsia="方正小标宋_GBK"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_GBK" w:eastAsia="方正小标宋_GBK"/>
          <w:color w:val="000000"/>
          <w:sz w:val="72"/>
          <w:szCs w:val="72"/>
        </w:rPr>
      </w:pPr>
      <w:bookmarkStart w:id="7" w:name="_Toc15377426"/>
      <w:bookmarkStart w:id="8" w:name="_Toc15377194"/>
      <w:bookmarkStart w:id="9" w:name="_Toc15396476"/>
      <w:bookmarkStart w:id="10" w:name="_Toc15396598"/>
      <w:bookmarkStart w:id="11" w:name="_Toc15378442"/>
      <w:r>
        <w:rPr>
          <w:rFonts w:ascii="方正小标宋_GBK" w:eastAsia="方正小标宋_GBK" w:hint="eastAsia"/>
          <w:color w:val="000000"/>
          <w:sz w:val="72"/>
          <w:szCs w:val="72"/>
        </w:rPr>
        <w:t>达州市达川区</w:t>
      </w:r>
      <w:bookmarkStart w:id="12" w:name="_Toc15306268"/>
      <w:bookmarkEnd w:id="0"/>
      <w:r>
        <w:rPr>
          <w:rFonts w:ascii="方正小标宋_GBK" w:eastAsia="方正小标宋_GBK" w:hint="eastAsia"/>
          <w:color w:val="000000"/>
          <w:sz w:val="72"/>
          <w:szCs w:val="72"/>
        </w:rPr>
        <w:t>麻柳镇</w:t>
      </w:r>
    </w:p>
    <w:p>
      <w:pPr>
        <w:adjustRightInd w:val="0"/>
        <w:snapToGrid w:val="0"/>
        <w:spacing w:line="360" w:lineRule="auto"/>
        <w:jc w:val="center"/>
        <w:outlineLvl w:val="0"/>
        <w:rPr>
          <w:rFonts w:ascii="方正小标宋_GBK" w:eastAsia="方正小标宋_GBK"/>
          <w:color w:val="000000"/>
          <w:sz w:val="72"/>
          <w:szCs w:val="72"/>
        </w:rPr>
      </w:pPr>
      <w:r>
        <w:rPr>
          <w:rFonts w:ascii="方正小标宋_GBK" w:eastAsia="方正小标宋_GBK" w:hint="eastAsia"/>
          <w:color w:val="000000"/>
          <w:sz w:val="72"/>
          <w:szCs w:val="72"/>
        </w:rPr>
        <w:t>部门决算</w:t>
      </w:r>
      <w:bookmarkEnd w:id="7"/>
      <w:bookmarkEnd w:id="8"/>
      <w:bookmarkEnd w:id="9"/>
      <w:bookmarkEnd w:id="10"/>
      <w:bookmarkEnd w:id="11"/>
      <w:bookmarkEnd w:id="12"/>
      <w:r>
        <w:rPr>
          <w:rFonts w:ascii="方正小标宋_GBK" w:eastAsia="方正小标宋_GBK" w:hint="eastAsia"/>
          <w:color w:val="000000"/>
          <w:sz w:val="72"/>
          <w:szCs w:val="72"/>
        </w:rPr>
        <w:t>编制说明</w:t>
      </w:r>
    </w:p>
    <w:p>
      <w:pPr>
        <w:widowControl/>
        <w:rPr>
          <w:rFonts w:ascii="方正小标宋简体" w:eastAsia="方正小标宋简体"/>
          <w:color w:val="000000"/>
          <w:sz w:val="36"/>
          <w:szCs w:val="36"/>
        </w:rPr>
      </w:pPr>
    </w:p>
    <w:p>
      <w:pPr>
        <w:widowControl/>
        <w:rPr>
          <w:color w:val="000000"/>
          <w:sz w:val="36"/>
          <w:szCs w:val="36"/>
        </w:rPr>
      </w:pPr>
    </w:p>
    <w:p>
      <w:pPr>
        <w:widowControl/>
        <w:rPr>
          <w:color w:val="000000"/>
          <w:sz w:val="36"/>
          <w:szCs w:val="36"/>
        </w:rPr>
      </w:pPr>
    </w:p>
    <w:p>
      <w:pPr>
        <w:widowControl/>
        <w:rPr>
          <w:rFonts w:ascii="方正小标宋_GBK" w:eastAsia="方正小标宋_GBK"/>
          <w:color w:val="000000"/>
          <w:sz w:val="44"/>
          <w:szCs w:val="44"/>
        </w:rPr>
      </w:pPr>
    </w:p>
    <w:p>
      <w:pPr>
        <w:widowControl/>
        <w:rPr>
          <w:rFonts w:ascii="方正小标宋_GBK" w:eastAsia="方正小标宋_GBK"/>
          <w:color w:val="000000"/>
          <w:sz w:val="44"/>
          <w:szCs w:val="44"/>
        </w:rPr>
      </w:pPr>
    </w:p>
    <w:p>
      <w:pPr>
        <w:widowControl/>
        <w:rPr>
          <w:rFonts w:ascii="方正小标宋_GBK" w:eastAsia="方正小标宋_GBK"/>
          <w:color w:val="000000"/>
          <w:sz w:val="44"/>
          <w:szCs w:val="44"/>
        </w:rPr>
      </w:pPr>
    </w:p>
    <w:p>
      <w:pPr>
        <w:widowControl/>
        <w:rPr>
          <w:rFonts w:ascii="方正小标宋_GBK" w:eastAsia="方正小标宋_GBK"/>
          <w:color w:val="000000"/>
          <w:sz w:val="44"/>
          <w:szCs w:val="44"/>
        </w:rPr>
      </w:pPr>
    </w:p>
    <w:p>
      <w:pPr>
        <w:widowControl/>
        <w:jc w:val="center"/>
        <w:rPr>
          <w:rFonts w:ascii="黑体" w:eastAsia="黑体"/>
          <w:color w:val="000000"/>
          <w:sz w:val="48"/>
          <w:szCs w:val="48"/>
        </w:rPr>
      </w:pPr>
      <w:bookmarkStart w:id="13" w:name="_Toc15377196"/>
      <w:bookmarkStart w:id="14" w:name="_Toc15396599"/>
      <w:r>
        <w:rPr>
          <w:rFonts w:ascii="黑体" w:eastAsia="黑体" w:hint="eastAsia"/>
          <w:color w:val="000000"/>
          <w:sz w:val="48"/>
          <w:szCs w:val="48"/>
        </w:rPr>
        <w:t>目录</w:t>
      </w:r>
    </w:p>
    <w:p>
      <w:pPr>
        <w:widowControl/>
        <w:jc w:val="center"/>
        <w:rPr>
          <w:rFonts w:ascii="黑体" w:eastAsia="黑体" w:cs="Arial"/>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20"/>
        <w:tabs>
          <w:tab w:val="right" w:leader="dot" w:pos="8296"/>
        </w:tabs>
      </w:pPr>
      <w:r>
        <w:rPr>
          <w:rFonts w:hint="eastAsia"/>
        </w:rPr>
        <w:t>公开时间：2020年</w:t>
      </w:r>
      <w:r>
        <w:t>9</w:t>
      </w:r>
      <w:r>
        <w:rPr>
          <w:rFonts w:hint="eastAsia"/>
        </w:rPr>
        <w:t>月</w:t>
      </w:r>
      <w:r>
        <w:t>1</w:t>
      </w:r>
      <w:r>
        <w:rPr>
          <w:rFonts w:hint="eastAsia"/>
        </w:rPr>
        <w:t>7日</w:t>
      </w:r>
    </w:p>
    <w:p/>
    <w:p>
      <w:pPr>
        <w:pStyle w:val="20"/>
        <w:tabs>
          <w:tab w:val="right" w:leader="dot" w:pos="8296"/>
        </w:tabs>
        <w:rPr>
          <w:rFonts w:cs="Arial"/>
        </w:rPr>
      </w:pPr>
      <w:r>
        <w:fldChar w:fldCharType="begin"/>
      </w:r>
      <w:r>
        <w:instrText xml:space="preserve"> HYPERLINK \l "_Toc15396599" </w:instrText>
      </w:r>
      <w:r>
        <w:fldChar w:fldCharType="separate"/>
      </w:r>
      <w:r>
        <w:rPr>
          <w:rFonts w:hint="eastAsia"/>
        </w:rPr>
        <w:t>第一部分部门概况</w:t>
      </w:r>
      <w:r>
        <w:tab/>
      </w:r>
      <w:r>
        <w:rPr>
          <w:rFonts w:hint="eastAsia"/>
        </w:rPr>
        <w:t>4</w:t>
      </w:r>
      <w:r>
        <w:rPr>
          <w:rFonts w:hint="eastAsia"/>
        </w:rPr>
        <w:fldChar w:fldCharType="end"/>
      </w:r>
    </w:p>
    <w:p>
      <w:pPr>
        <w:pStyle w:val="21"/>
        <w:tabs>
          <w:tab w:val="right" w:leader="dot" w:pos="8296"/>
        </w:tabs>
        <w:rPr>
          <w:rFonts w:ascii="仿宋" w:eastAsia="仿宋" w:cs="Arial"/>
          <w:sz w:val="28"/>
          <w:szCs w:val="28"/>
        </w:rPr>
      </w:pPr>
      <w:r>
        <w:fldChar w:fldCharType="begin"/>
      </w:r>
      <w:r>
        <w:instrText xml:space="preserve"> HYPERLINK \l "_Toc15396600" </w:instrText>
      </w:r>
      <w:r>
        <w:fldChar w:fldCharType="separate"/>
      </w:r>
      <w:r>
        <w:rPr>
          <w:rFonts w:ascii="仿宋" w:eastAsia="仿宋" w:hint="eastAsia"/>
          <w:sz w:val="28"/>
          <w:szCs w:val="28"/>
        </w:rPr>
        <w:t>一、基本职能及主要工作</w:t>
      </w:r>
      <w:r>
        <w:rPr>
          <w:rFonts w:ascii="仿宋" w:eastAsia="仿宋"/>
          <w:sz w:val="28"/>
          <w:szCs w:val="28"/>
        </w:rPr>
        <w:tab/>
      </w:r>
      <w:r>
        <w:rPr>
          <w:rFonts w:ascii="仿宋" w:eastAsia="仿宋" w:hint="eastAsia"/>
          <w:sz w:val="28"/>
          <w:szCs w:val="28"/>
        </w:rPr>
        <w:t>4</w:t>
      </w:r>
      <w:r>
        <w:rPr>
          <w:rFonts w:ascii="仿宋" w:eastAsia="仿宋" w:hint="eastAsia"/>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"_Toc15396601" </w:instrText>
      </w:r>
      <w:r>
        <w:fldChar w:fldCharType="separate"/>
      </w:r>
      <w:r>
        <w:rPr>
          <w:rFonts w:ascii="仿宋" w:eastAsia="仿宋" w:hint="eastAsia"/>
          <w:sz w:val="28"/>
          <w:szCs w:val="28"/>
        </w:rPr>
        <w:t>二、机构设置</w:t>
      </w:r>
      <w:r>
        <w:rPr>
          <w:rFonts w:ascii="仿宋" w:eastAsia="仿宋"/>
          <w:sz w:val="28"/>
          <w:szCs w:val="28"/>
        </w:rPr>
        <w:tab/>
      </w:r>
      <w:r>
        <w:rPr>
          <w:rFonts w:ascii="仿宋" w:eastAsia="仿宋" w:hint="eastAsia"/>
          <w:sz w:val="28"/>
          <w:szCs w:val="28"/>
        </w:rPr>
        <w:t>7</w:t>
      </w:r>
      <w:r>
        <w:rPr>
          <w:rFonts w:ascii="仿宋" w:eastAsia="仿宋" w:hint="eastAsia"/>
          <w:sz w:val="28"/>
          <w:szCs w:val="28"/>
        </w:rPr>
        <w:fldChar w:fldCharType="end"/>
      </w:r>
    </w:p>
    <w:p>
      <w:pPr>
        <w:pStyle w:val="20"/>
        <w:tabs>
          <w:tab w:val="right" w:leader="dot" w:pos="8296"/>
        </w:tabs>
      </w:pPr>
      <w:r>
        <w:fldChar w:fldCharType="begin"/>
      </w:r>
      <w:r>
        <w:instrText xml:space="preserve"> HYPERLINK \l "_Toc15396602" </w:instrText>
      </w:r>
      <w:r>
        <w:fldChar w:fldCharType="separate"/>
      </w:r>
      <w:r>
        <w:rPr>
          <w:rFonts w:hint="eastAsia"/>
        </w:rPr>
        <w:t>第二部分</w:t>
      </w:r>
      <w:r>
        <w:t xml:space="preserve"> 201</w:t>
      </w:r>
      <w:r>
        <w:rPr>
          <w:rFonts w:hint="eastAsia"/>
        </w:rPr>
        <w:t>9年度部门决算情况说明</w:t>
      </w:r>
      <w:r>
        <w:tab/>
      </w:r>
      <w:r>
        <w:rPr>
          <w:rFonts w:hint="eastAsia"/>
        </w:rPr>
        <w:t>8</w:t>
      </w:r>
      <w:r>
        <w:rPr>
          <w:rFonts w:hint="eastAsia"/>
        </w:rPr>
        <w:fldChar w:fldCharType="end"/>
      </w:r>
    </w:p>
    <w:p>
      <w:pPr>
        <w:pStyle w:val="21"/>
        <w:tabs>
          <w:tab w:val="right" w:leader="dot" w:pos="8296"/>
        </w:tabs>
        <w:rPr>
          <w:rFonts w:ascii="仿宋" w:eastAsia="仿宋" w:cs="Arial"/>
          <w:sz w:val="28"/>
          <w:szCs w:val="28"/>
        </w:rPr>
      </w:pPr>
      <w:r>
        <w:fldChar w:fldCharType="begin"/>
      </w:r>
      <w:r>
        <w:instrText xml:space="preserve"> HYPERLINK \l "_Toc15396603" </w:instrText>
      </w:r>
      <w:r>
        <w:fldChar w:fldCharType="separate"/>
      </w:r>
      <w:r>
        <w:rPr>
          <w:rFonts w:ascii="仿宋" w:eastAsia="仿宋" w:cs="Times New Roman" w:hint="eastAsia"/>
          <w:bCs/>
          <w:sz w:val="28"/>
          <w:szCs w:val="28"/>
        </w:rPr>
        <w:t>一、</w:t>
      </w:r>
      <w:r>
        <w:rPr>
          <w:rFonts w:ascii="仿宋" w:eastAsia="仿宋" w:hint="eastAsia"/>
          <w:sz w:val="28"/>
          <w:szCs w:val="28"/>
        </w:rPr>
        <w:t>收</w:t>
      </w:r>
      <w:r>
        <w:rPr>
          <w:rFonts w:ascii="仿宋" w:eastAsia="仿宋" w:cs="Times New Roman" w:hint="eastAsia"/>
          <w:bCs/>
          <w:sz w:val="28"/>
          <w:szCs w:val="28"/>
        </w:rPr>
        <w:t>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_Toc15396603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"_Toc15396604" </w:instrText>
      </w:r>
      <w:r>
        <w:fldChar w:fldCharType="separate"/>
      </w:r>
      <w:r>
        <w:rPr>
          <w:rFonts w:ascii="仿宋" w:eastAsia="仿宋" w:cs="Times New Roman" w:hint="eastAsia"/>
          <w:bCs/>
          <w:sz w:val="28"/>
          <w:szCs w:val="28"/>
        </w:rPr>
        <w:t>二、</w:t>
      </w:r>
      <w:r>
        <w:rPr>
          <w:rFonts w:ascii="仿宋" w:eastAsia="仿宋" w:hint="eastAsia"/>
          <w:sz w:val="28"/>
          <w:szCs w:val="28"/>
        </w:rPr>
        <w:t>收</w:t>
      </w:r>
      <w:r>
        <w:rPr>
          <w:rFonts w:ascii="仿宋" w:eastAsia="仿宋" w:cs="Times New Roman" w:hint="eastAsia"/>
          <w:bCs/>
          <w:sz w:val="28"/>
          <w:szCs w:val="28"/>
        </w:rPr>
        <w:t>入决算情况说明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_Toc15396604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"_Toc15396605" </w:instrText>
      </w:r>
      <w:r>
        <w:fldChar w:fldCharType="separate"/>
      </w:r>
      <w:r>
        <w:rPr>
          <w:rFonts w:ascii="仿宋" w:eastAsia="仿宋" w:cs="Times New Roman" w:hint="eastAsia"/>
          <w:bCs/>
          <w:sz w:val="28"/>
          <w:szCs w:val="28"/>
        </w:rPr>
        <w:t>三、</w:t>
      </w:r>
      <w:r>
        <w:rPr>
          <w:rFonts w:ascii="仿宋" w:eastAsia="仿宋" w:hint="eastAsia"/>
          <w:sz w:val="28"/>
          <w:szCs w:val="28"/>
        </w:rPr>
        <w:t>支</w:t>
      </w:r>
      <w:r>
        <w:rPr>
          <w:rFonts w:ascii="仿宋" w:eastAsia="仿宋" w:cs="Times New Roman" w:hint="eastAsia"/>
          <w:bCs/>
          <w:sz w:val="28"/>
          <w:szCs w:val="28"/>
        </w:rPr>
        <w:t>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_Toc15396605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"_Toc15396606" </w:instrText>
      </w:r>
      <w:r>
        <w:fldChar w:fldCharType="separate"/>
      </w:r>
      <w:r>
        <w:rPr>
          <w:rFonts w:ascii="仿宋" w:eastAsia="仿宋" w:hint="eastAsia"/>
          <w:sz w:val="28"/>
          <w:szCs w:val="28"/>
        </w:rPr>
        <w:t>四、财</w:t>
      </w:r>
      <w:r>
        <w:rPr>
          <w:rFonts w:ascii="仿宋" w:eastAsia="仿宋" w:cs="Times New Roman" w:hint="eastAsia"/>
          <w:bCs/>
          <w:sz w:val="28"/>
          <w:szCs w:val="28"/>
        </w:rPr>
        <w:t>政拨款收入支出决算总体情况说明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_Toc15396606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"_Toc15396607" </w:instrText>
      </w:r>
      <w:r>
        <w:fldChar w:fldCharType="separate"/>
      </w:r>
      <w:r>
        <w:rPr>
          <w:rFonts w:ascii="仿宋" w:eastAsia="仿宋" w:hint="eastAsia"/>
          <w:sz w:val="28"/>
          <w:szCs w:val="28"/>
        </w:rPr>
        <w:t>五、一</w:t>
      </w:r>
      <w:r>
        <w:rPr>
          <w:rFonts w:ascii="仿宋" w:eastAsia="仿宋" w:cs="Times New Roman" w:hint="eastAsia"/>
          <w:bCs/>
          <w:sz w:val="28"/>
          <w:szCs w:val="28"/>
        </w:rPr>
        <w:t>般公共预算财政拨款支出决算情况说明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_Toc15396607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"_Toc15396608" </w:instrText>
      </w:r>
      <w:r>
        <w:fldChar w:fldCharType="separate"/>
      </w:r>
      <w:r>
        <w:rPr>
          <w:rFonts w:ascii="仿宋" w:eastAsia="仿宋" w:hint="eastAsia"/>
          <w:sz w:val="28"/>
          <w:szCs w:val="28"/>
        </w:rPr>
        <w:t>六、一</w:t>
      </w:r>
      <w:r>
        <w:rPr>
          <w:rFonts w:ascii="仿宋" w:eastAsia="仿宋" w:cs="Times New Roman" w:hint="eastAsia"/>
          <w:bCs/>
          <w:sz w:val="28"/>
          <w:szCs w:val="28"/>
        </w:rPr>
        <w:t>般公共预算财政拨款基本支出决算情况说明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_Toc15396608 \h </w:instrText>
      </w:r>
      <w:r>
        <w:rPr>
          <w:rFonts w:ascii="仿宋" w:eastAsia="仿宋"/>
          <w:sz w:val="28"/>
          <w:szCs w:val="28"/>
        </w:rPr>
        <w:fldChar w:fldCharType="separate"/>
      </w:r>
      <w:r>
        <w:rPr>
          <w:rFonts w:ascii="仿宋" w:eastAsia="仿宋"/>
          <w:sz w:val="28"/>
          <w:szCs w:val="28"/>
        </w:rPr>
        <w:t>11</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"_Toc15396609" </w:instrText>
      </w:r>
      <w:r>
        <w:fldChar w:fldCharType="separate"/>
      </w:r>
      <w:r>
        <w:rPr>
          <w:rFonts w:ascii="仿宋" w:eastAsia="仿宋" w:hint="eastAsia"/>
          <w:sz w:val="28"/>
          <w:szCs w:val="28"/>
        </w:rPr>
        <w:t>七、</w:t>
      </w:r>
      <w:r>
        <w:rPr>
          <w:rFonts w:ascii="仿宋" w:eastAsia="仿宋"/>
          <w:sz w:val="28"/>
          <w:szCs w:val="28"/>
        </w:rPr>
        <w:t>“</w:t>
      </w:r>
      <w:r>
        <w:rPr>
          <w:rFonts w:ascii="仿宋" w:eastAsia="仿宋" w:cs="Times New Roman" w:hint="eastAsia"/>
          <w:bCs/>
          <w:sz w:val="28"/>
          <w:szCs w:val="28"/>
        </w:rPr>
        <w:t>三公”经费财政拨款支出决算情况说明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_Toc15396609 \h </w:instrText>
      </w:r>
      <w:r>
        <w:rPr>
          <w:rFonts w:ascii="仿宋" w:eastAsia="仿宋"/>
          <w:sz w:val="28"/>
          <w:szCs w:val="28"/>
        </w:rPr>
        <w:fldChar w:fldCharType="separate"/>
      </w:r>
      <w:r>
        <w:rPr>
          <w:rFonts w:ascii="仿宋" w:eastAsia="仿宋"/>
          <w:sz w:val="28"/>
          <w:szCs w:val="28"/>
        </w:rPr>
        <w:t>11</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"_Toc15396610" </w:instrText>
      </w:r>
      <w:r>
        <w:fldChar w:fldCharType="separate"/>
      </w:r>
      <w:r>
        <w:rPr>
          <w:rFonts w:ascii="仿宋" w:eastAsia="仿宋" w:hint="eastAsia"/>
          <w:sz w:val="28"/>
          <w:szCs w:val="28"/>
        </w:rPr>
        <w:t>八、</w:t>
      </w:r>
      <w:r>
        <w:rPr>
          <w:rFonts w:ascii="仿宋" w:eastAsia="仿宋" w:cs="Times New Roman" w:hint="eastAsia"/>
          <w:bCs/>
          <w:sz w:val="28"/>
          <w:szCs w:val="28"/>
        </w:rPr>
        <w:t>政府性基金预算支出决算情况说明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_Toc15396610 \h </w:instrText>
      </w:r>
      <w:r>
        <w:rPr>
          <w:rFonts w:ascii="仿宋" w:eastAsia="仿宋"/>
          <w:sz w:val="28"/>
          <w:szCs w:val="28"/>
        </w:rPr>
        <w:fldChar w:fldCharType="separate"/>
      </w:r>
      <w:r>
        <w:rPr>
          <w:rFonts w:ascii="仿宋" w:eastAsia="仿宋"/>
          <w:sz w:val="28"/>
          <w:szCs w:val="28"/>
        </w:rPr>
        <w:t>13</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"_Toc15396611" </w:instrText>
      </w:r>
      <w:r>
        <w:fldChar w:fldCharType="separate"/>
      </w:r>
      <w:r>
        <w:rPr>
          <w:rFonts w:ascii="仿宋" w:eastAsia="仿宋" w:cs="Times New Roman" w:hint="eastAsia"/>
          <w:bCs/>
          <w:sz w:val="28"/>
          <w:szCs w:val="28"/>
        </w:rPr>
        <w:t>九、</w:t>
      </w:r>
      <w:r>
        <w:rPr>
          <w:rFonts w:ascii="仿宋" w:eastAsia="仿宋" w:hint="eastAsia"/>
          <w:sz w:val="28"/>
          <w:szCs w:val="28"/>
        </w:rPr>
        <w:t xml:space="preserve"> 国</w:t>
      </w:r>
      <w:r>
        <w:rPr>
          <w:rFonts w:ascii="仿宋" w:eastAsia="仿宋" w:cs="Times New Roman" w:hint="eastAsia"/>
          <w:bCs/>
          <w:sz w:val="28"/>
          <w:szCs w:val="28"/>
        </w:rPr>
        <w:t>有资本经营预算支出决算情况说明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13</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pPr>
      <w:r>
        <w:fldChar w:fldCharType="begin"/>
      </w:r>
      <w:r>
        <w:instrText xml:space="preserve"> HYPERLINK \l "_Toc15396611" </w:instrText>
      </w:r>
      <w:r>
        <w:fldChar w:fldCharType="separate"/>
      </w:r>
      <w:r>
        <w:rPr>
          <w:rFonts w:ascii="仿宋" w:eastAsia="仿宋" w:cs="Times New Roman" w:hint="eastAsia"/>
          <w:bCs/>
          <w:sz w:val="28"/>
          <w:szCs w:val="28"/>
        </w:rPr>
        <w:t>十、</w:t>
      </w:r>
      <w:r>
        <w:rPr>
          <w:rFonts w:ascii="仿宋" w:eastAsia="仿宋" w:hint="eastAsia"/>
          <w:sz w:val="28"/>
          <w:szCs w:val="28"/>
        </w:rPr>
        <w:t>预算绩效</w:t>
      </w:r>
      <w:r>
        <w:rPr>
          <w:rFonts w:ascii="仿宋" w:eastAsia="仿宋" w:cs="Times New Roman" w:hint="eastAsia"/>
          <w:bCs/>
          <w:sz w:val="28"/>
          <w:szCs w:val="28"/>
        </w:rPr>
        <w:t>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13</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"_Toc15396612" </w:instrText>
      </w:r>
      <w:r>
        <w:fldChar w:fldCharType="separate"/>
      </w:r>
      <w:r>
        <w:rPr>
          <w:rFonts w:ascii="仿宋" w:eastAsia="仿宋" w:hint="eastAsia"/>
          <w:sz w:val="28"/>
          <w:szCs w:val="28"/>
        </w:rPr>
        <w:t>十</w:t>
      </w:r>
      <w:r>
        <w:rPr>
          <w:rFonts w:ascii="仿宋" w:eastAsia="仿宋" w:cs="Times New Roman" w:hint="eastAsia"/>
          <w:bCs/>
          <w:sz w:val="28"/>
          <w:szCs w:val="28"/>
        </w:rPr>
        <w:t>一、其他重要事项的情况说明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_Toc15396612 \h </w:instrText>
      </w:r>
      <w:r>
        <w:rPr>
          <w:rFonts w:ascii="仿宋" w:eastAsia="仿宋"/>
          <w:sz w:val="28"/>
          <w:szCs w:val="28"/>
        </w:rPr>
        <w:fldChar w:fldCharType="separate"/>
      </w:r>
      <w:r>
        <w:rPr>
          <w:rFonts w:ascii="仿宋" w:eastAsia="仿宋"/>
          <w:sz w:val="28"/>
          <w:szCs w:val="28"/>
        </w:rPr>
        <w:t>13</w:t>
      </w:r>
      <w:r>
        <w:rPr>
          <w:rFonts w:ascii="仿宋" w:eastAsia="仿宋"/>
          <w:sz w:val="28"/>
          <w:szCs w:val="28"/>
        </w:rPr>
        <w:fldChar w:fldCharType="end"/>
      </w:r>
      <w:r>
        <w:rPr>
          <w:rFonts w:ascii="仿宋" w:eastAsia="仿宋"/>
          <w:sz w:val="28"/>
          <w:szCs w:val="28"/>
        </w:rPr>
        <w:fldChar w:fldCharType="end"/>
      </w:r>
    </w:p>
    <w:p>
      <w:pPr>
        <w:pStyle w:val="20"/>
        <w:tabs>
          <w:tab w:val="right" w:leader="dot" w:pos="8296"/>
        </w:tabs>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rPr>
          <w:rFonts w:hint="eastAsia"/>
        </w:rPr>
        <w:t>2</w:t>
      </w:r>
      <w:r>
        <w:rPr>
          <w:rFonts w:hint="eastAsia"/>
        </w:rPr>
        <w:fldChar w:fldCharType="end"/>
      </w:r>
      <w:r>
        <w:rPr>
          <w:rFonts w:hint="eastAsia"/>
        </w:rPr>
        <w:t>6</w:t>
      </w:r>
    </w:p>
    <w:p>
      <w:pPr>
        <w:pStyle w:val="20"/>
        <w:tabs>
          <w:tab w:val="right" w:leader="dot" w:pos="8296"/>
        </w:tabs>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四部分附件</w:t>
      </w:r>
      <w:r>
        <w:tab/>
      </w:r>
      <w:r>
        <w:rPr>
          <w:rFonts w:hint="eastAsia"/>
        </w:rPr>
        <w:t>3</w:t>
      </w:r>
      <w:r>
        <w:rPr>
          <w:rFonts w:hint="eastAsia"/>
        </w:rPr>
        <w:fldChar w:fldCharType="end"/>
      </w:r>
      <w:r>
        <w:rPr>
          <w:rFonts w:hint="eastAsia"/>
        </w:rPr>
        <w:t>1</w:t>
      </w:r>
    </w:p>
    <w:p>
      <w:pPr>
        <w:pStyle w:val="21"/>
        <w:tabs>
          <w:tab w:val="right" w:leader="dot" w:pos="8296"/>
        </w:tabs>
        <w:rPr>
          <w:rFonts w:ascii="仿宋" w:eastAsia="仿宋" w:cs="Arial"/>
          <w:sz w:val="28"/>
          <w:szCs w:val="28"/>
        </w:rPr>
      </w:pPr>
      <w:r>
        <w:fldChar w:fldCharType="begin"/>
      </w:r>
      <w:r>
        <w:instrText xml:space="preserve"> HYPERLINK \l "_Toc15396615" </w:instrText>
      </w:r>
      <w:r>
        <w:fldChar w:fldCharType="separate"/>
      </w:r>
      <w:r>
        <w:rPr>
          <w:rFonts w:ascii="仿宋" w:eastAsia="仿宋" w:hint="eastAsia"/>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hint="eastAsia"/>
          <w:sz w:val="28"/>
          <w:szCs w:val="28"/>
        </w:rPr>
        <w:t>3</w:t>
      </w:r>
      <w:r>
        <w:rPr>
          <w:rFonts w:ascii="仿宋" w:eastAsia="仿宋" w:hint="eastAsia"/>
          <w:sz w:val="28"/>
          <w:szCs w:val="28"/>
        </w:rPr>
        <w:fldChar w:fldCharType="end"/>
      </w:r>
      <w:r>
        <w:rPr>
          <w:rFonts w:ascii="仿宋" w:eastAsia="仿宋" w:hint="eastAsia"/>
          <w:sz w:val="28"/>
          <w:szCs w:val="28"/>
        </w:rPr>
        <w:t>1</w:t>
      </w:r>
    </w:p>
    <w:p>
      <w:pPr>
        <w:pStyle w:val="21"/>
        <w:tabs>
          <w:tab w:val="right" w:leader="dot" w:pos="8296"/>
        </w:tabs>
        <w:rPr>
          <w:rFonts w:ascii="仿宋" w:eastAsia="仿宋" w:cs="Arial"/>
          <w:sz w:val="28"/>
          <w:szCs w:val="28"/>
        </w:rPr>
      </w:pPr>
      <w:r>
        <w:fldChar w:fldCharType="begin"/>
      </w:r>
      <w:r>
        <w:instrText xml:space="preserve"> HYPERLINK \l "_Toc15396617" </w:instrText>
      </w:r>
      <w:r>
        <w:fldChar w:fldCharType="separate"/>
      </w:r>
      <w:r>
        <w:rPr>
          <w:rFonts w:ascii="仿宋" w:eastAsia="仿宋" w:hint="eastAsia"/>
          <w:kern w:val="44"/>
          <w:sz w:val="28"/>
          <w:szCs w:val="28"/>
        </w:rPr>
        <w:t>附件</w:t>
      </w:r>
      <w:r>
        <w:rPr>
          <w:rFonts w:ascii="仿宋" w:eastAsia="仿宋"/>
          <w:kern w:val="44"/>
          <w:sz w:val="28"/>
          <w:szCs w:val="28"/>
        </w:rPr>
        <w:t>2</w:t>
      </w:r>
      <w:r>
        <w:rPr>
          <w:rFonts w:ascii="仿宋" w:eastAsia="仿宋"/>
          <w:sz w:val="28"/>
          <w:szCs w:val="28"/>
        </w:rPr>
        <w:tab/>
      </w:r>
      <w:r>
        <w:rPr>
          <w:rFonts w:ascii="仿宋" w:eastAsia="仿宋" w:hint="eastAsia"/>
          <w:sz w:val="28"/>
          <w:szCs w:val="28"/>
        </w:rPr>
        <w:t>33</w:t>
      </w:r>
      <w:r>
        <w:rPr>
          <w:rFonts w:ascii="仿宋" w:eastAsia="仿宋" w:hint="eastAsia"/>
          <w:sz w:val="28"/>
          <w:szCs w:val="28"/>
        </w:rPr>
        <w:fldChar w:fldCharType="end"/>
      </w:r>
    </w:p>
    <w:p>
      <w:pPr>
        <w:pStyle w:val="20"/>
        <w:tabs>
          <w:tab w:val="right" w:leader="dot" w:pos="8296"/>
        </w:tabs>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五部分附表</w:t>
      </w:r>
      <w:r>
        <w:tab/>
      </w:r>
      <w:r>
        <w:rPr>
          <w:rFonts w:hint="eastAsia"/>
        </w:rPr>
        <w:t>3</w:t>
      </w:r>
      <w:r>
        <w:rPr>
          <w:rFonts w:hint="eastAsia"/>
        </w:rPr>
        <w:fldChar w:fldCharType="end"/>
      </w:r>
      <w:r>
        <w:rPr>
          <w:rFonts w:hint="eastAsia"/>
        </w:rPr>
        <w:t>7</w:t>
      </w:r>
    </w:p>
    <w:p>
      <w:pPr>
        <w:pStyle w:val="21"/>
        <w:tabs>
          <w:tab w:val="right" w:leader="dot" w:pos="8296"/>
        </w:tabs>
        <w:rPr>
          <w:rFonts w:ascii="仿宋" w:eastAsia="仿宋"/>
          <w:sz w:val="28"/>
          <w:szCs w:val="28"/>
        </w:rPr>
      </w:pPr>
      <w:r>
        <w:rPr>
          <w:rFonts w:ascii="仿宋" w:eastAsia="仿宋" w:hint="eastAsia"/>
          <w:sz w:val="28"/>
          <w:szCs w:val="28"/>
        </w:rPr>
        <w:t>一、</w:t>
      </w:r>
      <w:r>
        <w:fldChar w:fldCharType="begin"/>
      </w:r>
      <w:r>
        <w:instrText xml:space="preserve"> HYPERLINK \l "_Toc15396619" </w:instrText>
      </w:r>
      <w:r>
        <w:fldChar w:fldCharType="separate"/>
      </w:r>
      <w:r>
        <w:rPr>
          <w:rFonts w:ascii="仿宋" w:eastAsia="仿宋" w:hint="eastAsia"/>
          <w:sz w:val="28"/>
          <w:szCs w:val="28"/>
        </w:rPr>
        <w:t>收入支出决算总表</w:t>
      </w:r>
      <w:r>
        <w:rPr>
          <w:rFonts w:ascii="仿宋" w:eastAsia="仿宋"/>
          <w:sz w:val="28"/>
          <w:szCs w:val="28"/>
        </w:rPr>
        <w:tab/>
      </w:r>
      <w:r>
        <w:rPr>
          <w:rFonts w:ascii="仿宋" w:eastAsia="仿宋" w:hint="eastAsia"/>
          <w:sz w:val="28"/>
          <w:szCs w:val="28"/>
        </w:rPr>
        <w:t>3</w:t>
      </w:r>
      <w:r>
        <w:rPr>
          <w:rFonts w:ascii="仿宋" w:eastAsia="仿宋" w:hint="eastAsia"/>
          <w:sz w:val="28"/>
          <w:szCs w:val="28"/>
        </w:rPr>
        <w:fldChar w:fldCharType="end"/>
      </w:r>
      <w:r>
        <w:rPr>
          <w:rFonts w:ascii="仿宋" w:eastAsia="仿宋" w:hint="eastAsia"/>
          <w:sz w:val="28"/>
          <w:szCs w:val="28"/>
        </w:rPr>
        <w:t>7</w:t>
      </w:r>
    </w:p>
    <w:p>
      <w:pPr>
        <w:pStyle w:val="21"/>
        <w:tabs>
          <w:tab w:val="right" w:leader="dot" w:pos="8296"/>
        </w:tabs>
        <w:rPr>
          <w:rFonts w:ascii="仿宋" w:eastAsia="仿宋" w:cs="Arial"/>
          <w:sz w:val="28"/>
          <w:szCs w:val="28"/>
        </w:rPr>
      </w:pPr>
      <w:r>
        <w:rPr>
          <w:rFonts w:ascii="仿宋" w:eastAsia="仿宋" w:hint="eastAsia"/>
          <w:sz w:val="28"/>
          <w:szCs w:val="28"/>
        </w:rPr>
        <w:t>二、</w:t>
      </w:r>
      <w:r>
        <w:fldChar w:fldCharType="begin"/>
      </w:r>
      <w:r>
        <w:instrText xml:space="preserve"> HYPERLINK \l "_Toc15396620" </w:instrText>
      </w:r>
      <w:r>
        <w:fldChar w:fldCharType="separate"/>
      </w:r>
      <w:r>
        <w:rPr>
          <w:rFonts w:ascii="仿宋" w:eastAsia="仿宋" w:hint="eastAsia"/>
          <w:sz w:val="28"/>
          <w:szCs w:val="28"/>
        </w:rPr>
        <w:t>收入总表</w:t>
      </w:r>
      <w:r>
        <w:rPr>
          <w:rFonts w:ascii="仿宋" w:eastAsia="仿宋"/>
          <w:sz w:val="28"/>
          <w:szCs w:val="28"/>
        </w:rPr>
        <w:tab/>
      </w:r>
      <w:r>
        <w:rPr>
          <w:rFonts w:ascii="仿宋" w:eastAsia="仿宋" w:hint="eastAsia"/>
          <w:sz w:val="28"/>
          <w:szCs w:val="28"/>
        </w:rPr>
        <w:t>3</w:t>
      </w:r>
      <w:r>
        <w:rPr>
          <w:rFonts w:ascii="仿宋" w:eastAsia="仿宋" w:hint="eastAsia"/>
          <w:sz w:val="28"/>
          <w:szCs w:val="28"/>
        </w:rPr>
        <w:fldChar w:fldCharType="end"/>
      </w:r>
      <w:r>
        <w:rPr>
          <w:rFonts w:ascii="仿宋" w:eastAsia="仿宋" w:hint="eastAsia"/>
          <w:sz w:val="28"/>
          <w:szCs w:val="28"/>
        </w:rPr>
        <w:t>7</w:t>
      </w:r>
    </w:p>
    <w:p>
      <w:pPr>
        <w:pStyle w:val="21"/>
        <w:tabs>
          <w:tab w:val="right" w:leader="dot" w:pos="8296"/>
        </w:tabs>
        <w:rPr>
          <w:rFonts w:ascii="仿宋" w:eastAsia="仿宋"/>
          <w:sz w:val="28"/>
          <w:szCs w:val="28"/>
        </w:rPr>
      </w:pPr>
      <w:r>
        <w:rPr>
          <w:rFonts w:ascii="仿宋" w:eastAsia="仿宋" w:hint="eastAsia"/>
          <w:sz w:val="28"/>
          <w:szCs w:val="28"/>
        </w:rPr>
        <w:t>三、</w:t>
      </w:r>
      <w:r>
        <w:fldChar w:fldCharType="begin"/>
      </w:r>
      <w:r>
        <w:instrText xml:space="preserve"> HYPERLINK \l "_Toc15396621" </w:instrText>
      </w:r>
      <w:r>
        <w:fldChar w:fldCharType="separate"/>
      </w:r>
      <w:r>
        <w:rPr>
          <w:rFonts w:ascii="仿宋" w:eastAsia="仿宋" w:hint="eastAsia"/>
          <w:sz w:val="28"/>
          <w:szCs w:val="28"/>
        </w:rPr>
        <w:t>支出总表</w:t>
      </w:r>
      <w:r>
        <w:rPr>
          <w:rFonts w:ascii="仿宋" w:eastAsia="仿宋"/>
          <w:sz w:val="28"/>
          <w:szCs w:val="28"/>
        </w:rPr>
        <w:tab/>
      </w:r>
      <w:r>
        <w:rPr>
          <w:rFonts w:ascii="仿宋" w:eastAsia="仿宋" w:hint="eastAsia"/>
          <w:sz w:val="28"/>
          <w:szCs w:val="28"/>
        </w:rPr>
        <w:t>3</w:t>
      </w:r>
      <w:r>
        <w:rPr>
          <w:rFonts w:ascii="仿宋" w:eastAsia="仿宋" w:hint="eastAsia"/>
          <w:sz w:val="28"/>
          <w:szCs w:val="28"/>
        </w:rPr>
        <w:fldChar w:fldCharType="end"/>
      </w:r>
      <w:r>
        <w:rPr>
          <w:rFonts w:ascii="仿宋" w:eastAsia="仿宋" w:hint="eastAsia"/>
          <w:sz w:val="28"/>
          <w:szCs w:val="28"/>
        </w:rPr>
        <w:t>7</w:t>
      </w:r>
    </w:p>
    <w:p>
      <w:pPr>
        <w:pStyle w:val="21"/>
        <w:tabs>
          <w:tab w:val="right" w:leader="dot" w:pos="8296"/>
        </w:tabs>
        <w:rPr>
          <w:rFonts w:ascii="仿宋" w:eastAsia="仿宋" w:cs="Arial"/>
          <w:sz w:val="28"/>
          <w:szCs w:val="28"/>
        </w:rPr>
      </w:pPr>
      <w:r>
        <w:rPr>
          <w:rFonts w:ascii="仿宋" w:eastAsia="仿宋" w:hint="eastAsia"/>
          <w:sz w:val="28"/>
          <w:szCs w:val="28"/>
        </w:rPr>
        <w:t>四、</w:t>
      </w:r>
      <w:r>
        <w:fldChar w:fldCharType="begin"/>
      </w:r>
      <w:r>
        <w:instrText xml:space="preserve"> HYPERLINK \l "_Toc15396622" </w:instrText>
      </w:r>
      <w:r>
        <w:fldChar w:fldCharType="separate"/>
      </w:r>
      <w:r>
        <w:rPr>
          <w:rFonts w:ascii="仿宋" w:eastAsia="仿宋" w:hint="eastAsia"/>
          <w:sz w:val="28"/>
          <w:szCs w:val="28"/>
        </w:rPr>
        <w:t>财政拨款收入支出决算总表</w:t>
      </w:r>
      <w:r>
        <w:rPr>
          <w:rFonts w:ascii="仿宋" w:eastAsia="仿宋"/>
          <w:sz w:val="28"/>
          <w:szCs w:val="28"/>
        </w:rPr>
        <w:tab/>
      </w:r>
      <w:r>
        <w:rPr>
          <w:rFonts w:ascii="仿宋" w:eastAsia="仿宋" w:hint="eastAsia"/>
          <w:sz w:val="28"/>
          <w:szCs w:val="28"/>
        </w:rPr>
        <w:t>3</w:t>
      </w:r>
      <w:r>
        <w:rPr>
          <w:rFonts w:ascii="仿宋" w:eastAsia="仿宋" w:hint="eastAsia"/>
          <w:sz w:val="28"/>
          <w:szCs w:val="28"/>
        </w:rPr>
        <w:fldChar w:fldCharType="end"/>
      </w:r>
      <w:r>
        <w:rPr>
          <w:rFonts w:ascii="仿宋" w:eastAsia="仿宋" w:hint="eastAsia"/>
          <w:sz w:val="28"/>
          <w:szCs w:val="28"/>
        </w:rPr>
        <w:t>7</w:t>
      </w:r>
    </w:p>
    <w:p>
      <w:pPr>
        <w:pStyle w:val="21"/>
        <w:tabs>
          <w:tab w:val="right" w:leader="dot" w:pos="8296"/>
        </w:tabs>
        <w:rPr>
          <w:rFonts w:ascii="仿宋" w:eastAsia="仿宋"/>
          <w:sz w:val="28"/>
          <w:szCs w:val="28"/>
        </w:rPr>
      </w:pPr>
      <w:r>
        <w:rPr>
          <w:rFonts w:ascii="仿宋" w:eastAsia="仿宋" w:hint="eastAsia"/>
          <w:sz w:val="28"/>
          <w:szCs w:val="28"/>
        </w:rPr>
        <w:t>五、</w:t>
      </w:r>
      <w:r>
        <w:fldChar w:fldCharType="begin"/>
      </w:r>
      <w:r>
        <w:instrText xml:space="preserve"> HYPERLINK \l "_Toc15396623" </w:instrText>
      </w:r>
      <w:r>
        <w:fldChar w:fldCharType="separate"/>
      </w:r>
      <w:r>
        <w:rPr>
          <w:rFonts w:ascii="仿宋" w:eastAsia="仿宋" w:hint="eastAsia"/>
          <w:sz w:val="28"/>
          <w:szCs w:val="28"/>
        </w:rPr>
        <w:t>财政拨款支出决算明细表（政府经济分类科目）</w:t>
      </w:r>
      <w:r>
        <w:rPr>
          <w:rFonts w:ascii="仿宋" w:eastAsia="仿宋"/>
          <w:sz w:val="28"/>
          <w:szCs w:val="28"/>
        </w:rPr>
        <w:tab/>
      </w:r>
      <w:r>
        <w:rPr>
          <w:rFonts w:ascii="仿宋" w:eastAsia="仿宋"/>
          <w:sz w:val="28"/>
          <w:szCs w:val="28"/>
        </w:rPr>
        <w:fldChar w:fldCharType="end"/>
      </w:r>
      <w:r>
        <w:rPr>
          <w:rFonts w:ascii="仿宋" w:eastAsia="仿宋" w:hint="eastAsia"/>
          <w:sz w:val="28"/>
          <w:szCs w:val="28"/>
        </w:rPr>
        <w:t>37</w:t>
      </w:r>
    </w:p>
    <w:p>
      <w:pPr>
        <w:pStyle w:val="21"/>
        <w:tabs>
          <w:tab w:val="right" w:leader="dot" w:pos="8296"/>
        </w:tabs>
        <w:rPr>
          <w:rFonts w:ascii="仿宋" w:eastAsia="仿宋" w:cs="Arial"/>
          <w:sz w:val="28"/>
          <w:szCs w:val="28"/>
        </w:rPr>
      </w:pPr>
      <w:r>
        <w:rPr>
          <w:rFonts w:ascii="仿宋" w:eastAsia="仿宋" w:hint="eastAsia"/>
          <w:sz w:val="28"/>
          <w:szCs w:val="28"/>
        </w:rPr>
        <w:t>六、</w:t>
      </w:r>
      <w:r>
        <w:fldChar w:fldCharType="begin"/>
      </w:r>
      <w:r>
        <w:instrText xml:space="preserve"> HYPERLINK \l "_Toc15396624" </w:instrText>
      </w:r>
      <w:r>
        <w:fldChar w:fldCharType="separate"/>
      </w:r>
      <w:r>
        <w:rPr>
          <w:rFonts w:ascii="仿宋" w:eastAsia="仿宋" w:hint="eastAsia"/>
          <w:sz w:val="28"/>
          <w:szCs w:val="28"/>
        </w:rPr>
        <w:t>一般公共预算财政拨款支出决算表</w:t>
      </w:r>
      <w:r>
        <w:rPr>
          <w:rFonts w:ascii="仿宋" w:eastAsia="仿宋"/>
          <w:sz w:val="28"/>
          <w:szCs w:val="28"/>
        </w:rPr>
        <w:tab/>
      </w:r>
      <w:r>
        <w:rPr>
          <w:rFonts w:ascii="仿宋" w:eastAsia="仿宋" w:hint="eastAsia"/>
          <w:sz w:val="28"/>
          <w:szCs w:val="28"/>
        </w:rPr>
        <w:t>3</w:t>
      </w:r>
      <w:r>
        <w:rPr>
          <w:rFonts w:ascii="仿宋" w:eastAsia="仿宋" w:hint="eastAsia"/>
          <w:sz w:val="28"/>
          <w:szCs w:val="28"/>
        </w:rPr>
        <w:fldChar w:fldCharType="end"/>
      </w:r>
      <w:r>
        <w:rPr>
          <w:rFonts w:ascii="仿宋" w:eastAsia="仿宋" w:hint="eastAsia"/>
          <w:sz w:val="28"/>
          <w:szCs w:val="28"/>
        </w:rPr>
        <w:t>7</w:t>
      </w:r>
    </w:p>
    <w:p>
      <w:pPr>
        <w:pStyle w:val="21"/>
        <w:tabs>
          <w:tab w:val="right" w:leader="dot" w:pos="8296"/>
        </w:tabs>
        <w:rPr>
          <w:rFonts w:ascii="仿宋" w:eastAsia="仿宋"/>
          <w:sz w:val="28"/>
          <w:szCs w:val="28"/>
        </w:rPr>
      </w:pPr>
      <w:r>
        <w:rPr>
          <w:rFonts w:ascii="仿宋" w:eastAsia="仿宋" w:hint="eastAsia"/>
          <w:sz w:val="28"/>
          <w:szCs w:val="28"/>
        </w:rPr>
        <w:t>七、</w:t>
      </w:r>
      <w:r>
        <w:fldChar w:fldCharType="begin"/>
      </w:r>
      <w:r>
        <w:instrText xml:space="preserve"> HYPERLINK \l "_Toc15396625" </w:instrText>
      </w:r>
      <w:r>
        <w:fldChar w:fldCharType="separate"/>
      </w:r>
      <w:r>
        <w:rPr>
          <w:rFonts w:ascii="仿宋" w:eastAsia="仿宋" w:hint="eastAsia"/>
          <w:sz w:val="28"/>
          <w:szCs w:val="28"/>
        </w:rPr>
        <w:t>一般公共预算财政拨款支出决算明细表</w:t>
      </w:r>
      <w:r>
        <w:rPr>
          <w:rFonts w:ascii="仿宋" w:eastAsia="仿宋"/>
          <w:sz w:val="28"/>
          <w:szCs w:val="28"/>
        </w:rPr>
        <w:tab/>
      </w:r>
      <w:r>
        <w:rPr>
          <w:rFonts w:ascii="仿宋" w:eastAsia="仿宋" w:hint="eastAsia"/>
          <w:sz w:val="28"/>
          <w:szCs w:val="28"/>
        </w:rPr>
        <w:t>3</w:t>
      </w:r>
      <w:r>
        <w:rPr>
          <w:rFonts w:ascii="仿宋" w:eastAsia="仿宋" w:hint="eastAsia"/>
          <w:sz w:val="28"/>
          <w:szCs w:val="28"/>
        </w:rPr>
        <w:fldChar w:fldCharType="end"/>
      </w:r>
      <w:r>
        <w:rPr>
          <w:rFonts w:ascii="仿宋" w:eastAsia="仿宋" w:hint="eastAsia"/>
          <w:sz w:val="28"/>
          <w:szCs w:val="28"/>
        </w:rPr>
        <w:t>7</w:t>
      </w:r>
    </w:p>
    <w:p>
      <w:pPr>
        <w:pStyle w:val="21"/>
        <w:tabs>
          <w:tab w:val="right" w:leader="dot" w:pos="8296"/>
        </w:tabs>
        <w:rPr>
          <w:rFonts w:ascii="仿宋" w:eastAsia="仿宋" w:cs="Arial"/>
          <w:sz w:val="28"/>
          <w:szCs w:val="28"/>
        </w:rPr>
      </w:pPr>
      <w:r>
        <w:rPr>
          <w:rFonts w:ascii="仿宋" w:eastAsia="仿宋" w:hint="eastAsia"/>
          <w:sz w:val="28"/>
          <w:szCs w:val="28"/>
        </w:rPr>
        <w:t>八、</w:t>
      </w:r>
      <w:r>
        <w:fldChar w:fldCharType="begin"/>
      </w:r>
      <w:r>
        <w:instrText xml:space="preserve"> HYPERLINK \l "_Toc15396626" </w:instrText>
      </w:r>
      <w:r>
        <w:fldChar w:fldCharType="separate"/>
      </w:r>
      <w:r>
        <w:rPr>
          <w:rFonts w:ascii="仿宋" w:eastAsia="仿宋" w:hint="eastAsia"/>
          <w:sz w:val="28"/>
          <w:szCs w:val="28"/>
        </w:rPr>
        <w:t>一般公共预算财政拨款基本支出决算表</w:t>
      </w:r>
      <w:r>
        <w:rPr>
          <w:rFonts w:ascii="仿宋" w:eastAsia="仿宋"/>
          <w:sz w:val="28"/>
          <w:szCs w:val="28"/>
        </w:rPr>
        <w:tab/>
      </w:r>
      <w:r>
        <w:rPr>
          <w:rFonts w:ascii="仿宋" w:eastAsia="仿宋"/>
          <w:sz w:val="28"/>
          <w:szCs w:val="28"/>
        </w:rPr>
        <w:fldChar w:fldCharType="end"/>
      </w:r>
      <w:r>
        <w:rPr>
          <w:rFonts w:ascii="仿宋" w:eastAsia="仿宋" w:hint="eastAsia"/>
          <w:sz w:val="28"/>
          <w:szCs w:val="28"/>
        </w:rPr>
        <w:t>37</w:t>
      </w:r>
    </w:p>
    <w:p>
      <w:pPr>
        <w:pStyle w:val="21"/>
        <w:tabs>
          <w:tab w:val="right" w:leader="dot" w:pos="8296"/>
        </w:tabs>
        <w:rPr>
          <w:rFonts w:ascii="仿宋" w:eastAsia="仿宋" w:cs="Arial"/>
          <w:sz w:val="28"/>
          <w:szCs w:val="28"/>
        </w:rPr>
      </w:pPr>
      <w:r>
        <w:rPr>
          <w:rFonts w:ascii="仿宋" w:eastAsia="仿宋" w:hint="eastAsia"/>
          <w:sz w:val="28"/>
          <w:szCs w:val="28"/>
        </w:rPr>
        <w:t>九、</w:t>
      </w:r>
      <w:r>
        <w:fldChar w:fldCharType="begin"/>
      </w:r>
      <w:r>
        <w:instrText xml:space="preserve"> HYPERLINK \l "_Toc15396627" </w:instrText>
      </w:r>
      <w:r>
        <w:fldChar w:fldCharType="separate"/>
      </w:r>
      <w:r>
        <w:rPr>
          <w:rFonts w:ascii="仿宋" w:eastAsia="仿宋" w:hint="eastAsia"/>
          <w:sz w:val="28"/>
          <w:szCs w:val="28"/>
        </w:rPr>
        <w:t>一般公共预算财政拨款项目支出决算表</w:t>
      </w:r>
      <w:r>
        <w:rPr>
          <w:rFonts w:ascii="仿宋" w:eastAsia="仿宋"/>
          <w:sz w:val="28"/>
          <w:szCs w:val="28"/>
        </w:rPr>
        <w:tab/>
      </w:r>
      <w:r>
        <w:rPr>
          <w:rFonts w:ascii="仿宋" w:eastAsia="仿宋"/>
          <w:sz w:val="28"/>
          <w:szCs w:val="28"/>
        </w:rPr>
        <w:fldChar w:fldCharType="end"/>
      </w:r>
      <w:r>
        <w:rPr>
          <w:rFonts w:ascii="仿宋" w:eastAsia="仿宋" w:hint="eastAsia"/>
          <w:sz w:val="28"/>
          <w:szCs w:val="28"/>
        </w:rPr>
        <w:t>37</w:t>
      </w:r>
    </w:p>
    <w:p>
      <w:pPr>
        <w:pStyle w:val="21"/>
        <w:tabs>
          <w:tab w:val="right" w:leader="dot" w:pos="8296"/>
        </w:tabs>
        <w:rPr>
          <w:rFonts w:ascii="仿宋" w:eastAsia="仿宋" w:cs="Arial"/>
          <w:sz w:val="28"/>
          <w:szCs w:val="28"/>
        </w:rPr>
      </w:pPr>
      <w:r>
        <w:rPr>
          <w:rFonts w:ascii="仿宋" w:eastAsia="仿宋" w:hint="eastAsia"/>
          <w:sz w:val="28"/>
          <w:szCs w:val="28"/>
        </w:rPr>
        <w:t>十、</w:t>
      </w:r>
      <w:r>
        <w:fldChar w:fldCharType="begin"/>
      </w:r>
      <w:r>
        <w:instrText xml:space="preserve"> HYPERLINK \l "_Toc15396628" </w:instrText>
      </w:r>
      <w:r>
        <w:fldChar w:fldCharType="separate"/>
      </w:r>
      <w:r>
        <w:rPr>
          <w:rFonts w:ascii="仿宋" w:eastAsia="仿宋" w:hint="eastAsia"/>
          <w:sz w:val="28"/>
          <w:szCs w:val="28"/>
        </w:rPr>
        <w:t>一般公共预算财政拨款“三公”经费支出决算表</w:t>
      </w:r>
      <w:r>
        <w:rPr>
          <w:rFonts w:ascii="仿宋" w:eastAsia="仿宋"/>
          <w:sz w:val="28"/>
          <w:szCs w:val="28"/>
        </w:rPr>
        <w:tab/>
      </w:r>
      <w:r>
        <w:rPr>
          <w:rFonts w:ascii="仿宋" w:eastAsia="仿宋"/>
          <w:sz w:val="28"/>
          <w:szCs w:val="28"/>
        </w:rPr>
        <w:fldChar w:fldCharType="end"/>
      </w:r>
      <w:r>
        <w:rPr>
          <w:rFonts w:ascii="仿宋" w:eastAsia="仿宋" w:hint="eastAsia"/>
          <w:sz w:val="28"/>
          <w:szCs w:val="28"/>
        </w:rPr>
        <w:t>37</w:t>
      </w:r>
    </w:p>
    <w:p>
      <w:pPr>
        <w:pStyle w:val="21"/>
        <w:tabs>
          <w:tab w:val="right" w:leader="dot" w:pos="8296"/>
        </w:tabs>
        <w:rPr>
          <w:rFonts w:ascii="仿宋" w:eastAsia="仿宋" w:cs="Arial"/>
          <w:sz w:val="28"/>
          <w:szCs w:val="28"/>
        </w:rPr>
      </w:pPr>
      <w:r>
        <w:rPr>
          <w:rFonts w:ascii="仿宋" w:eastAsia="仿宋" w:hint="eastAsia"/>
          <w:sz w:val="28"/>
          <w:szCs w:val="28"/>
        </w:rPr>
        <w:t>十一、</w:t>
      </w:r>
      <w:r>
        <w:fldChar w:fldCharType="begin"/>
      </w:r>
      <w:r>
        <w:instrText xml:space="preserve"> HYPERLINK \l "_Toc15396629" </w:instrText>
      </w:r>
      <w:r>
        <w:fldChar w:fldCharType="separate"/>
      </w:r>
      <w:r>
        <w:rPr>
          <w:rFonts w:ascii="仿宋" w:eastAsia="仿宋" w:hint="eastAsia"/>
          <w:sz w:val="28"/>
          <w:szCs w:val="28"/>
        </w:rPr>
        <w:t>政府性基金预算财政拨款收入支出决算表</w:t>
      </w:r>
      <w:r>
        <w:rPr>
          <w:rFonts w:ascii="仿宋" w:eastAsia="仿宋"/>
          <w:sz w:val="28"/>
          <w:szCs w:val="28"/>
        </w:rPr>
        <w:tab/>
      </w:r>
      <w:r>
        <w:rPr>
          <w:rFonts w:ascii="仿宋" w:eastAsia="仿宋"/>
          <w:sz w:val="28"/>
          <w:szCs w:val="28"/>
        </w:rPr>
        <w:fldChar w:fldCharType="end"/>
      </w:r>
      <w:r>
        <w:rPr>
          <w:rFonts w:ascii="仿宋" w:eastAsia="仿宋" w:hint="eastAsia"/>
          <w:sz w:val="28"/>
          <w:szCs w:val="28"/>
        </w:rPr>
        <w:t>37</w:t>
      </w:r>
    </w:p>
    <w:p>
      <w:pPr>
        <w:pStyle w:val="21"/>
        <w:tabs>
          <w:tab w:val="right" w:leader="dot" w:pos="8296"/>
        </w:tabs>
        <w:rPr>
          <w:rFonts w:ascii="仿宋" w:eastAsia="仿宋" w:cs="Arial"/>
          <w:sz w:val="28"/>
          <w:szCs w:val="28"/>
        </w:rPr>
      </w:pPr>
      <w:r>
        <w:rPr>
          <w:rFonts w:ascii="仿宋" w:eastAsia="仿宋" w:hint="eastAsia"/>
          <w:sz w:val="28"/>
          <w:szCs w:val="28"/>
        </w:rPr>
        <w:t>十二、</w:t>
      </w:r>
      <w:r>
        <w:fldChar w:fldCharType="begin"/>
      </w:r>
      <w:r>
        <w:instrText xml:space="preserve"> HYPERLINK \l "_Toc15396630" </w:instrText>
      </w:r>
      <w:r>
        <w:fldChar w:fldCharType="separate"/>
      </w:r>
      <w:r>
        <w:rPr>
          <w:rFonts w:ascii="仿宋" w:eastAsia="仿宋" w:hint="eastAsia"/>
          <w:sz w:val="28"/>
          <w:szCs w:val="28"/>
        </w:rPr>
        <w:t>政府性基金预算财政拨款“三公”经费支出决算表</w:t>
      </w:r>
      <w:r>
        <w:rPr>
          <w:rFonts w:ascii="仿宋" w:eastAsia="仿宋"/>
          <w:sz w:val="28"/>
          <w:szCs w:val="28"/>
        </w:rPr>
        <w:tab/>
      </w:r>
      <w:r>
        <w:rPr>
          <w:rFonts w:ascii="仿宋" w:eastAsia="仿宋" w:hint="eastAsia"/>
          <w:sz w:val="28"/>
          <w:szCs w:val="28"/>
        </w:rPr>
        <w:t>3</w:t>
      </w:r>
      <w:r>
        <w:rPr>
          <w:rFonts w:ascii="仿宋" w:eastAsia="仿宋" w:hint="eastAsia"/>
          <w:sz w:val="28"/>
          <w:szCs w:val="28"/>
        </w:rPr>
        <w:fldChar w:fldCharType="end"/>
      </w:r>
      <w:r>
        <w:rPr>
          <w:rFonts w:ascii="仿宋" w:eastAsia="仿宋" w:hint="eastAsia"/>
          <w:sz w:val="28"/>
          <w:szCs w:val="28"/>
        </w:rPr>
        <w:t>7</w:t>
      </w:r>
    </w:p>
    <w:p>
      <w:pPr>
        <w:pStyle w:val="21"/>
        <w:tabs>
          <w:tab w:val="right" w:leader="dot" w:pos="8296"/>
        </w:tabs>
        <w:rPr>
          <w:rFonts w:ascii="仿宋" w:eastAsia="仿宋" w:cs="Arial"/>
          <w:sz w:val="24"/>
        </w:rPr>
      </w:pPr>
      <w:r>
        <w:rPr>
          <w:rFonts w:ascii="仿宋" w:eastAsia="仿宋" w:hint="eastAsia"/>
          <w:sz w:val="28"/>
          <w:szCs w:val="28"/>
        </w:rPr>
        <w:t>十三、</w:t>
      </w:r>
      <w:r>
        <w:fldChar w:fldCharType="begin"/>
      </w:r>
      <w:r>
        <w:instrText xml:space="preserve"> HYPERLINK \l "_Toc15396631" </w:instrText>
      </w:r>
      <w:r>
        <w:fldChar w:fldCharType="separate"/>
      </w:r>
      <w:r>
        <w:rPr>
          <w:rFonts w:ascii="仿宋" w:eastAsia="仿宋" w:hint="eastAsia"/>
          <w:sz w:val="28"/>
          <w:szCs w:val="28"/>
        </w:rPr>
        <w:t>国有资本经营预算支出决算表</w:t>
      </w:r>
      <w:r>
        <w:rPr>
          <w:rFonts w:ascii="仿宋" w:eastAsia="仿宋"/>
          <w:sz w:val="28"/>
          <w:szCs w:val="28"/>
        </w:rPr>
        <w:tab/>
      </w:r>
      <w:r>
        <w:rPr>
          <w:rFonts w:ascii="仿宋" w:eastAsia="仿宋"/>
          <w:sz w:val="28"/>
          <w:szCs w:val="28"/>
        </w:rPr>
        <w:fldChar w:fldCharType="end"/>
      </w:r>
      <w:r>
        <w:rPr>
          <w:rFonts w:ascii="仿宋" w:eastAsia="仿宋" w:hint="eastAsia"/>
          <w:sz w:val="28"/>
          <w:szCs w:val="28"/>
        </w:rPr>
        <w:t>37</w:t>
      </w:r>
    </w:p>
    <w:p>
      <w:pPr>
        <w:widowControl/>
        <w:spacing w:line="540" w:lineRule="exact"/>
        <w:jc w:val="center"/>
        <w:rPr>
          <w:rStyle w:val="1Char"/>
          <w:rFonts w:ascii="方正小标宋_GBK" w:eastAsia="方正小标宋_GBK"/>
          <w:b w:val="0"/>
          <w:sz w:val="32"/>
          <w:szCs w:val="32"/>
        </w:rPr>
      </w:pPr>
      <w:r>
        <w:rPr>
          <w:rFonts w:ascii="仿宋" w:eastAsia="仿宋"/>
          <w:color w:val="000000"/>
          <w:sz w:val="24"/>
        </w:rPr>
        <w:fldChar w:fldCharType="end"/>
      </w:r>
      <w:r>
        <w:rPr>
          <w:rFonts w:eastAsia="方正仿宋_GBK"/>
          <w:sz w:val="32"/>
          <w:szCs w:val="32"/>
        </w:rPr>
        <w:br w:type="page"/>
      </w:r>
      <w:r>
        <w:rPr>
          <w:rFonts w:ascii="方正小标宋_GBK" w:eastAsia="方正小标宋_GBK" w:hint="eastAsia"/>
          <w:sz w:val="32"/>
          <w:szCs w:val="32"/>
        </w:rPr>
        <w:t>第一部分　</w:t>
      </w:r>
      <w:r>
        <w:rPr>
          <w:rStyle w:val="1Char"/>
          <w:rFonts w:ascii="方正小标宋_GBK" w:eastAsia="方正小标宋_GBK" w:hint="eastAsia"/>
          <w:b w:val="0"/>
          <w:sz w:val="32"/>
          <w:szCs w:val="32"/>
        </w:rPr>
        <w:t>部门概况</w:t>
      </w:r>
      <w:bookmarkEnd w:id="13"/>
      <w:bookmarkEnd w:id="14"/>
    </w:p>
    <w:p>
      <w:pPr>
        <w:pStyle w:val="2"/>
        <w:spacing w:before="0" w:after="0" w:line="540" w:lineRule="exact"/>
        <w:ind w:firstLineChars="200" w:firstLine="640"/>
        <w:rPr>
          <w:rStyle w:val="2Char"/>
          <w:rFonts w:ascii="方正黑体_GBK" w:eastAsia="方正黑体_GBK"/>
          <w:b w:val="0"/>
          <w:bCs w:val="0"/>
          <w:color w:val="000000"/>
        </w:rPr>
      </w:pPr>
      <w:bookmarkStart w:id="15" w:name="_Toc15396600"/>
      <w:bookmarkStart w:id="16" w:name="_Toc15377197"/>
      <w:r>
        <w:rPr>
          <w:rFonts w:ascii="方正黑体_GBK" w:eastAsia="方正黑体_GBK" w:hint="eastAsia"/>
          <w:b w:val="0"/>
          <w:bCs w:val="0"/>
          <w:color w:val="000000"/>
        </w:rPr>
        <w:t>一、基</w:t>
      </w:r>
      <w:r>
        <w:rPr>
          <w:rStyle w:val="2Char"/>
          <w:rFonts w:ascii="方正黑体_GBK" w:eastAsia="方正黑体_GBK" w:hint="eastAsia"/>
          <w:b w:val="0"/>
          <w:bCs w:val="0"/>
          <w:color w:val="000000"/>
        </w:rPr>
        <w:t>本职能及主要工作</w:t>
      </w:r>
      <w:bookmarkEnd w:id="15"/>
      <w:bookmarkEnd w:id="16"/>
    </w:p>
    <w:p>
      <w:pPr>
        <w:pStyle w:val="15"/>
        <w:adjustRightInd w:val="0"/>
        <w:snapToGrid w:val="0"/>
        <w:spacing w:beforeLines="0" w:before="30" w:line="540" w:lineRule="exact"/>
        <w:ind w:firstLineChars="200" w:firstLine="640"/>
        <w:outlineLvl w:val="2"/>
        <w:rPr>
          <w:rFonts w:ascii="Times New Roman" w:eastAsia="方正仿宋_GBK" w:hAnsi="Times New Roman"/>
          <w:bCs/>
          <w:color w:val="000000"/>
          <w:sz w:val="32"/>
          <w:szCs w:val="32"/>
        </w:rPr>
      </w:pPr>
      <w:bookmarkStart w:id="17" w:name="_Toc15378445"/>
      <w:bookmarkStart w:id="18" w:name="_Toc15377198"/>
      <w:r>
        <w:rPr>
          <w:rFonts w:ascii="Times New Roman" w:eastAsia="方正仿宋_GBK" w:hAnsi="Times New Roman" w:hint="eastAsia"/>
          <w:bCs/>
          <w:color w:val="000000"/>
          <w:sz w:val="32"/>
          <w:szCs w:val="32"/>
        </w:rPr>
        <w:t>（一）主要职能。</w:t>
      </w:r>
      <w:bookmarkEnd w:id="17"/>
      <w:bookmarkEnd w:id="18"/>
    </w:p>
    <w:p>
      <w:pPr>
        <w:pStyle w:val="15"/>
        <w:adjustRightInd w:val="0"/>
        <w:snapToGrid w:val="0"/>
        <w:spacing w:beforeLines="0" w:before="93" w:line="600" w:lineRule="exact"/>
        <w:ind w:firstLineChars="209" w:firstLine="672"/>
        <w:rPr>
          <w:rFonts w:ascii="Times New Roman" w:eastAsia="方正仿宋_GBK" w:hAnsi="Times New Roman"/>
          <w:bCs/>
          <w:color w:val="000000"/>
          <w:sz w:val="32"/>
          <w:szCs w:val="32"/>
        </w:rPr>
      </w:pPr>
      <w:bookmarkStart w:id="19" w:name="_Toc15378446"/>
      <w:bookmarkStart w:id="20" w:name="_Toc15377199"/>
      <w:r>
        <w:rPr>
          <w:rFonts w:hint="eastAsia"/>
          <w:sz w:val="32"/>
          <w:szCs w:val="32"/>
        </w:rPr>
        <w:t>达川区麻柳镇人民政府主要职能：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麻柳镇经济发展、改善人民生活、保持农村社会稳定、偿还镇、村两级债务、搞好场镇建设和加快新农村基础设施建设工作。</w:t>
      </w:r>
    </w:p>
    <w:p>
      <w:pPr>
        <w:pStyle w:val="15"/>
        <w:adjustRightInd w:val="0"/>
        <w:snapToGrid w:val="0"/>
        <w:spacing w:beforeLines="0" w:before="30" w:line="540" w:lineRule="exact"/>
        <w:ind w:firstLineChars="200" w:firstLine="640"/>
        <w:outlineLvl w:val="2"/>
        <w:rPr>
          <w:rFonts w:ascii="Times New Roman" w:eastAsia="方正仿宋_GBK" w:hAnsi="Times New Roman"/>
          <w:bCs/>
          <w:color w:val="000000"/>
          <w:sz w:val="32"/>
          <w:szCs w:val="32"/>
        </w:rPr>
      </w:pPr>
      <w:r>
        <w:rPr>
          <w:rFonts w:ascii="Times New Roman" w:eastAsia="方正仿宋_GBK" w:hAnsi="Times New Roman" w:hint="eastAsia"/>
          <w:bCs/>
          <w:color w:val="000000"/>
          <w:sz w:val="32"/>
          <w:szCs w:val="32"/>
        </w:rPr>
        <w:t>（二）</w:t>
      </w:r>
      <w:r>
        <w:rPr>
          <w:rFonts w:ascii="Times New Roman" w:eastAsia="方正仿宋_GBK" w:hAnsi="Times New Roman"/>
          <w:bCs/>
          <w:color w:val="000000"/>
          <w:sz w:val="32"/>
          <w:szCs w:val="32"/>
        </w:rPr>
        <w:t>2019</w:t>
      </w:r>
      <w:r>
        <w:rPr>
          <w:rFonts w:ascii="Times New Roman" w:eastAsia="方正仿宋_GBK" w:hAnsi="Times New Roman" w:hint="eastAsia"/>
          <w:bCs/>
          <w:color w:val="000000"/>
          <w:sz w:val="32"/>
          <w:szCs w:val="32"/>
        </w:rPr>
        <w:t>年重点工作完成情况。</w:t>
      </w:r>
      <w:bookmarkEnd w:id="19"/>
      <w:bookmarkEnd w:id="20"/>
    </w:p>
    <w:p>
      <w:pPr>
        <w:spacing w:line="578" w:lineRule="exact"/>
        <w:ind w:firstLineChars="200" w:firstLine="640"/>
        <w:rPr>
          <w:bCs/>
          <w:color w:val="000000"/>
          <w:sz w:val="32"/>
          <w:szCs w:val="32"/>
        </w:rPr>
      </w:pPr>
      <w:bookmarkStart w:id="21" w:name="_Toc15377200"/>
      <w:bookmarkStart w:id="22" w:name="_Toc15396601"/>
      <w:r>
        <w:rPr>
          <w:rFonts w:ascii="仿宋_GB2312" w:eastAsia="仿宋_GB2312"/>
          <w:sz w:val="32"/>
          <w:szCs w:val="32"/>
        </w:rPr>
        <w:t>201</w:t>
      </w:r>
      <w:r>
        <w:rPr>
          <w:rFonts w:ascii="仿宋_GB2312" w:eastAsia="仿宋_GB2312" w:hint="eastAsia"/>
          <w:sz w:val="32"/>
          <w:szCs w:val="32"/>
        </w:rPr>
        <w:t>9年，我镇继续紧紧围绕实现区委、区政府“三大”战略、“五区”目标，</w:t>
      </w:r>
      <w:r>
        <w:rPr>
          <w:rFonts w:ascii="仿宋_GB2312" w:eastAsia="仿宋_GB2312" w:cs="Arial" w:hint="eastAsia"/>
          <w:color w:val="000000"/>
          <w:sz w:val="32"/>
          <w:szCs w:val="32"/>
        </w:rPr>
        <w:t>始终坚持“发展是第一要务”，不断优化调整产业发展结构，大力推进项目建设，在发展过程中不断加强执政能力建设，为群众办好事、办实事。（</w:t>
      </w:r>
      <w:r>
        <w:rPr>
          <w:rFonts w:ascii="仿宋_GB2312" w:eastAsia="仿宋_GB2312" w:cs="Arial"/>
          <w:color w:val="000000"/>
          <w:sz w:val="32"/>
          <w:szCs w:val="32"/>
        </w:rPr>
        <w:t>1</w:t>
      </w:r>
      <w:r>
        <w:rPr>
          <w:rFonts w:ascii="仿宋_GB2312" w:eastAsia="仿宋_GB2312" w:cs="Arial" w:hint="eastAsia"/>
          <w:color w:val="000000"/>
          <w:sz w:val="32"/>
          <w:szCs w:val="32"/>
        </w:rPr>
        <w:t>）关注民生民计，群众满意见成果。</w:t>
      </w:r>
      <w:r>
        <w:rPr>
          <w:rFonts w:ascii="仿宋_GB2312" w:eastAsia="仿宋_GB2312" w:cs="Arial"/>
          <w:color w:val="000000"/>
          <w:sz w:val="32"/>
          <w:szCs w:val="32"/>
        </w:rPr>
        <w:t>1</w:t>
      </w:r>
      <w:r>
        <w:rPr>
          <w:rFonts w:ascii="仿宋_GB2312" w:eastAsia="仿宋_GB2312" w:cs="Arial" w:hint="eastAsia"/>
          <w:color w:val="000000"/>
          <w:sz w:val="32"/>
          <w:szCs w:val="32"/>
        </w:rPr>
        <w:t>、维修辖区道路56</w:t>
      </w:r>
      <w:r>
        <w:rPr>
          <w:rFonts w:ascii="仿宋_GB2312" w:eastAsia="仿宋_GB2312" w:cs="Arial"/>
          <w:color w:val="000000"/>
          <w:sz w:val="32"/>
          <w:szCs w:val="32"/>
        </w:rPr>
        <w:t>60</w:t>
      </w:r>
      <w:r>
        <w:rPr>
          <w:rFonts w:ascii="仿宋_GB2312" w:eastAsia="仿宋_GB2312" w:cs="Arial" w:hint="eastAsia"/>
          <w:color w:val="000000"/>
          <w:sz w:val="32"/>
          <w:szCs w:val="32"/>
        </w:rPr>
        <w:t>余平方米；</w:t>
      </w:r>
      <w:r>
        <w:rPr>
          <w:rFonts w:ascii="仿宋_GB2312" w:eastAsia="仿宋_GB2312" w:cs="Arial"/>
          <w:color w:val="000000"/>
          <w:sz w:val="32"/>
          <w:szCs w:val="32"/>
        </w:rPr>
        <w:t>2</w:t>
      </w:r>
      <w:r>
        <w:rPr>
          <w:rFonts w:ascii="仿宋_GB2312" w:eastAsia="仿宋_GB2312" w:cs="Arial" w:hint="eastAsia"/>
          <w:color w:val="000000"/>
          <w:sz w:val="32"/>
          <w:szCs w:val="32"/>
        </w:rPr>
        <w:t>、完成</w:t>
      </w:r>
      <w:r>
        <w:rPr>
          <w:rFonts w:ascii="仿宋_GB2312" w:eastAsia="仿宋_GB2312" w:cs="Arial"/>
          <w:color w:val="000000"/>
          <w:sz w:val="32"/>
          <w:szCs w:val="32"/>
        </w:rPr>
        <w:t>201</w:t>
      </w:r>
      <w:r>
        <w:rPr>
          <w:rFonts w:ascii="仿宋_GB2312" w:eastAsia="仿宋_GB2312" w:cs="Arial" w:hint="eastAsia"/>
          <w:color w:val="000000"/>
          <w:sz w:val="32"/>
          <w:szCs w:val="32"/>
        </w:rPr>
        <w:t>9年危房改造对象户86户；</w:t>
      </w:r>
      <w:r>
        <w:rPr>
          <w:rFonts w:ascii="仿宋_GB2312" w:eastAsia="仿宋_GB2312" w:cs="Arial"/>
          <w:color w:val="000000"/>
          <w:sz w:val="32"/>
          <w:szCs w:val="32"/>
        </w:rPr>
        <w:t>3</w:t>
      </w:r>
      <w:r>
        <w:rPr>
          <w:rFonts w:ascii="仿宋_GB2312" w:eastAsia="仿宋_GB2312" w:cs="Arial" w:hint="eastAsia"/>
          <w:color w:val="000000"/>
          <w:sz w:val="32"/>
          <w:szCs w:val="32"/>
        </w:rPr>
        <w:t>、全镇退耕还林85</w:t>
      </w:r>
      <w:r>
        <w:rPr>
          <w:rFonts w:ascii="仿宋_GB2312" w:eastAsia="仿宋_GB2312" w:cs="Arial"/>
          <w:color w:val="000000"/>
          <w:sz w:val="32"/>
          <w:szCs w:val="32"/>
        </w:rPr>
        <w:t>00</w:t>
      </w:r>
      <w:r>
        <w:rPr>
          <w:rFonts w:ascii="仿宋_GB2312" w:eastAsia="仿宋_GB2312" w:cs="Arial" w:hint="eastAsia"/>
          <w:color w:val="000000"/>
          <w:sz w:val="32"/>
          <w:szCs w:val="32"/>
        </w:rPr>
        <w:t>余亩106万余元，通过“一卡通”足额打到农户帐户上；</w:t>
      </w:r>
      <w:r>
        <w:rPr>
          <w:rFonts w:ascii="仿宋_GB2312" w:eastAsia="仿宋_GB2312" w:cs="Arial"/>
          <w:color w:val="000000"/>
          <w:sz w:val="32"/>
          <w:szCs w:val="32"/>
        </w:rPr>
        <w:t>4</w:t>
      </w:r>
      <w:r>
        <w:rPr>
          <w:rFonts w:ascii="仿宋_GB2312" w:eastAsia="仿宋_GB2312" w:cs="Arial" w:hint="eastAsia"/>
          <w:color w:val="000000"/>
          <w:sz w:val="32"/>
          <w:szCs w:val="32"/>
        </w:rPr>
        <w:t>、严格按照程序，坚持公平、公正、公开的原则，开展低保清查工作。（</w:t>
      </w:r>
      <w:r>
        <w:rPr>
          <w:rFonts w:ascii="仿宋_GB2312" w:eastAsia="仿宋_GB2312" w:cs="Arial"/>
          <w:color w:val="000000"/>
          <w:sz w:val="32"/>
          <w:szCs w:val="32"/>
        </w:rPr>
        <w:t>2</w:t>
      </w:r>
      <w:r>
        <w:rPr>
          <w:rFonts w:ascii="仿宋_GB2312" w:eastAsia="仿宋_GB2312" w:cs="Arial" w:hint="eastAsia"/>
          <w:color w:val="000000"/>
          <w:sz w:val="32"/>
          <w:szCs w:val="32"/>
        </w:rPr>
        <w:t>）加快场镇改造，实施城镇兴乡。以“治脏、治乱、治差”目标，加强城乡环境综合治理整治。</w:t>
      </w:r>
      <w:r>
        <w:rPr>
          <w:rFonts w:ascii="仿宋_GB2312" w:eastAsia="仿宋_GB2312" w:cs="Arial"/>
          <w:color w:val="000000"/>
          <w:sz w:val="32"/>
          <w:szCs w:val="32"/>
        </w:rPr>
        <w:t>1</w:t>
      </w:r>
      <w:r>
        <w:rPr>
          <w:rFonts w:ascii="仿宋_GB2312" w:eastAsia="仿宋_GB2312" w:cs="Arial" w:hint="eastAsia"/>
          <w:color w:val="000000"/>
          <w:sz w:val="32"/>
          <w:szCs w:val="32"/>
        </w:rPr>
        <w:t>、投资35余万元修建的垃圾临时堆放处，有效确保了农村垃圾回收处理率达</w:t>
      </w:r>
      <w:r>
        <w:rPr>
          <w:rFonts w:ascii="仿宋_GB2312" w:eastAsia="仿宋_GB2312" w:cs="Arial"/>
          <w:color w:val="000000"/>
          <w:sz w:val="32"/>
          <w:szCs w:val="32"/>
        </w:rPr>
        <w:t>100%</w:t>
      </w:r>
      <w:r>
        <w:rPr>
          <w:rFonts w:ascii="仿宋_GB2312" w:eastAsia="仿宋_GB2312" w:cs="Arial" w:hint="eastAsia"/>
          <w:color w:val="000000"/>
          <w:sz w:val="32"/>
          <w:szCs w:val="32"/>
        </w:rPr>
        <w:t>；</w:t>
      </w:r>
      <w:r>
        <w:rPr>
          <w:rFonts w:ascii="仿宋_GB2312" w:eastAsia="仿宋_GB2312" w:cs="Arial"/>
          <w:color w:val="000000"/>
          <w:sz w:val="32"/>
          <w:szCs w:val="32"/>
        </w:rPr>
        <w:t>2</w:t>
      </w:r>
      <w:r>
        <w:rPr>
          <w:rFonts w:ascii="仿宋_GB2312" w:eastAsia="仿宋_GB2312" w:cs="Arial" w:hint="eastAsia"/>
          <w:color w:val="000000"/>
          <w:sz w:val="32"/>
          <w:szCs w:val="32"/>
        </w:rPr>
        <w:t>、设立13个农村道路安全检查站，宣传劝导点84个，切实加强农村道路安全监管；</w:t>
      </w:r>
      <w:r>
        <w:rPr>
          <w:rFonts w:ascii="仿宋_GB2312" w:eastAsia="仿宋_GB2312" w:cs="Arial"/>
          <w:color w:val="000000"/>
          <w:sz w:val="32"/>
          <w:szCs w:val="32"/>
        </w:rPr>
        <w:t>3</w:t>
      </w:r>
      <w:r>
        <w:rPr>
          <w:rFonts w:ascii="仿宋_GB2312" w:eastAsia="仿宋_GB2312" w:cs="Arial" w:hint="eastAsia"/>
          <w:color w:val="000000"/>
          <w:sz w:val="32"/>
          <w:szCs w:val="32"/>
        </w:rPr>
        <w:t>、新街社区打造，美化亮化了场镇，满足了群众日益增长的生活需求，提高了居民的生活水平和质量。</w:t>
      </w:r>
    </w:p>
    <w:p>
      <w:pPr>
        <w:pStyle w:val="2"/>
        <w:spacing w:before="0" w:after="0" w:line="540" w:lineRule="exact"/>
        <w:ind w:firstLineChars="200" w:firstLine="640"/>
        <w:rPr>
          <w:rFonts w:ascii="方正黑体_GBK" w:eastAsia="方正黑体_GBK"/>
          <w:b w:val="0"/>
          <w:color w:val="000000"/>
        </w:rPr>
      </w:pPr>
      <w:r>
        <w:rPr>
          <w:rFonts w:ascii="方正黑体_GBK" w:eastAsia="方正黑体_GBK" w:hint="eastAsia"/>
          <w:b w:val="0"/>
          <w:color w:val="000000"/>
        </w:rPr>
        <w:t>二、机构设置</w:t>
      </w:r>
      <w:bookmarkEnd w:id="21"/>
      <w:bookmarkEnd w:id="22"/>
    </w:p>
    <w:p>
      <w:pPr>
        <w:pStyle w:val="15"/>
        <w:adjustRightInd w:val="0"/>
        <w:snapToGrid w:val="0"/>
        <w:spacing w:beforeLines="0" w:before="93" w:line="578" w:lineRule="exact"/>
        <w:ind w:firstLineChars="209" w:firstLine="672"/>
        <w:rPr>
          <w:sz w:val="32"/>
          <w:szCs w:val="32"/>
        </w:rPr>
      </w:pPr>
      <w:bookmarkStart w:id="23" w:name="_Toc15396602"/>
      <w:bookmarkStart w:id="24" w:name="_Toc15377204"/>
      <w:r>
        <w:rPr>
          <w:rFonts w:hint="eastAsia"/>
          <w:sz w:val="32"/>
          <w:szCs w:val="32"/>
        </w:rPr>
        <w:t>麻柳镇下属单位4个，其中行政单位1个，其他事业单位3个。主要包括：达州市达川区麻柳镇人民政府、达州市达川区麻柳镇计划生育服务站、达州市达川区麻柳镇新闻出版和广播影视站、达州市达川区麻柳镇社会事务（政务）服务中心。</w:t>
      </w:r>
    </w:p>
    <w:p>
      <w:pPr>
        <w:pStyle w:val="1"/>
        <w:spacing w:before="0" w:after="0" w:line="540" w:lineRule="exact"/>
        <w:jc w:val="center"/>
        <w:rPr>
          <w:rStyle w:val="1Char"/>
          <w:rFonts w:ascii="方正小标宋_GBK" w:eastAsia="方正小标宋_GBK"/>
          <w:b w:val="0"/>
          <w:bCs w:val="0"/>
          <w:color w:val="000000"/>
          <w:sz w:val="32"/>
          <w:szCs w:val="32"/>
        </w:rPr>
      </w:pPr>
      <w:r>
        <w:rPr>
          <w:rFonts w:ascii="方正小标宋_GBK" w:eastAsia="方正小标宋_GBK" w:hint="eastAsia"/>
          <w:b w:val="0"/>
          <w:color w:val="000000"/>
          <w:sz w:val="32"/>
          <w:szCs w:val="32"/>
        </w:rPr>
        <w:t>第二部分</w:t>
      </w:r>
      <w:r>
        <w:rPr>
          <w:rFonts w:ascii="方正小标宋_GBK" w:eastAsia="方正小标宋_GBK" w:hint="eastAsia"/>
          <w:color w:val="000000"/>
          <w:sz w:val="32"/>
          <w:szCs w:val="32"/>
        </w:rPr>
        <w:t>　</w:t>
      </w:r>
      <w:r>
        <w:rPr>
          <w:rStyle w:val="1Char"/>
          <w:rFonts w:ascii="方正小标宋_GBK" w:eastAsia="方正小标宋_GBK"/>
          <w:b w:val="0"/>
          <w:bCs w:val="0"/>
          <w:color w:val="000000"/>
          <w:sz w:val="32"/>
          <w:szCs w:val="32"/>
        </w:rPr>
        <w:t>2019</w:t>
      </w:r>
      <w:r>
        <w:rPr>
          <w:rStyle w:val="1Char"/>
          <w:rFonts w:ascii="方正小标宋_GBK" w:eastAsia="方正小标宋_GBK" w:hint="eastAsia"/>
          <w:b w:val="0"/>
          <w:bCs w:val="0"/>
          <w:color w:val="000000"/>
          <w:sz w:val="32"/>
          <w:szCs w:val="32"/>
        </w:rPr>
        <w:t>年度部门决算情况说明</w:t>
      </w:r>
      <w:bookmarkEnd w:id="23"/>
      <w:bookmarkEnd w:id="24"/>
    </w:p>
    <w:p>
      <w:pPr>
        <w:pStyle w:val="2"/>
        <w:spacing w:before="0" w:after="0" w:line="540" w:lineRule="exact"/>
        <w:ind w:firstLineChars="200" w:firstLine="640"/>
        <w:rPr>
          <w:rFonts w:ascii="方正黑体_GBK" w:eastAsia="方正黑体_GBK"/>
          <w:b w:val="0"/>
          <w:bCs w:val="0"/>
        </w:rPr>
      </w:pPr>
      <w:bookmarkStart w:id="25" w:name="_Toc15377205"/>
      <w:bookmarkStart w:id="26" w:name="_Toc15396603"/>
      <w:r>
        <w:rPr>
          <w:rFonts w:ascii="方正黑体_GBK" w:eastAsia="方正黑体_GBK" w:hint="eastAsia"/>
          <w:b w:val="0"/>
          <w:color w:val="000000"/>
        </w:rPr>
        <w:t>一、收</w:t>
      </w:r>
      <w:r>
        <w:rPr>
          <w:rFonts w:ascii="方正黑体_GBK" w:eastAsia="方正黑体_GBK" w:hint="eastAsia"/>
          <w:b w:val="0"/>
          <w:bCs w:val="0"/>
        </w:rPr>
        <w:t>入支出决算总体情况说明</w:t>
      </w:r>
      <w:bookmarkEnd w:id="25"/>
      <w:bookmarkEnd w:id="26"/>
    </w:p>
    <w:p>
      <w:pPr>
        <w:spacing w:line="540" w:lineRule="exact"/>
        <w:ind w:firstLineChars="200" w:firstLine="640"/>
        <w:rPr>
          <w:rFonts w:ascii="仿宋" w:eastAsia="仿宋" w:cs="仿宋"/>
          <w:color w:val="000000"/>
          <w:sz w:val="32"/>
          <w:szCs w:val="32"/>
        </w:rPr>
      </w:pPr>
      <w:r>
        <w:rPr>
          <w:rFonts w:ascii="仿宋" w:eastAsia="仿宋" w:cs="仿宋" w:hint="eastAsia"/>
          <w:color w:val="000000"/>
          <w:sz w:val="32"/>
          <w:szCs w:val="32"/>
        </w:rPr>
        <w:t>2019年度收、支总计8747.35万元。与2018年相比，收、支总计各增加4791.76万元，增加121.14%。主要变动原因是区划调整人员大幅增加。</w:t>
      </w:r>
    </w:p>
    <w:p>
      <w:pPr>
        <w:pStyle w:val="2"/>
        <w:spacing w:before="0" w:after="0" w:line="540" w:lineRule="exact"/>
        <w:ind w:firstLineChars="200" w:firstLine="640"/>
        <w:rPr>
          <w:rFonts w:ascii="方正黑体_GBK" w:eastAsia="方正黑体_GBK"/>
          <w:b w:val="0"/>
          <w:bCs w:val="0"/>
        </w:rPr>
      </w:pPr>
      <w:bookmarkStart w:id="27" w:name="_Toc15396604"/>
      <w:bookmarkStart w:id="28" w:name="_Toc15377206"/>
      <w:r>
        <w:rPr>
          <w:rFonts w:ascii="方正黑体_GBK" w:eastAsia="方正黑体_GBK" w:hint="eastAsia"/>
          <w:b w:val="0"/>
          <w:color w:val="000000"/>
        </w:rPr>
        <w:t>二、收</w:t>
      </w:r>
      <w:r>
        <w:rPr>
          <w:rFonts w:ascii="方正黑体_GBK" w:eastAsia="方正黑体_GBK" w:hint="eastAsia"/>
          <w:b w:val="0"/>
          <w:bCs w:val="0"/>
        </w:rPr>
        <w:t>入决算情况说明</w:t>
      </w:r>
      <w:bookmarkEnd w:id="27"/>
      <w:bookmarkEnd w:id="28"/>
    </w:p>
    <w:p>
      <w:pPr>
        <w:spacing w:line="540" w:lineRule="exact"/>
        <w:ind w:firstLineChars="200" w:firstLine="640"/>
        <w:outlineLvl w:val="1"/>
        <w:rPr>
          <w:rFonts w:ascii="仿宋" w:eastAsia="仿宋" w:cs="仿宋"/>
          <w:color w:val="000000"/>
          <w:sz w:val="32"/>
          <w:szCs w:val="32"/>
        </w:rPr>
      </w:pPr>
      <w:r>
        <w:rPr>
          <w:rFonts w:ascii="仿宋" w:eastAsia="仿宋" w:cs="仿宋" w:hint="eastAsia"/>
          <w:color w:val="000000"/>
          <w:sz w:val="32"/>
          <w:szCs w:val="32"/>
        </w:rPr>
        <w:t>2019年本年收入合计8747.35万元，其中：一般公共预算财政拨款收入7621.80万元，占87.13%；政府性基金预算财政拨款收入1125.55万元，占12.87 %；上级补助收入0万元，占0%；事业收入0万元，占0%；经营收入0万元，占0%；附属单位上缴收入0万元，占0%；其他收入0万元，占0%。</w:t>
      </w:r>
    </w:p>
    <w:p>
      <w:pPr>
        <w:pStyle w:val="25"/>
        <w:spacing w:line="540" w:lineRule="exact"/>
        <w:outlineLvl w:val="1"/>
        <w:rPr>
          <w:rStyle w:val="2Char"/>
          <w:rFonts w:ascii="方正黑体_GBK" w:eastAsia="方正黑体_GBK"/>
          <w:b w:val="0"/>
          <w:color w:val="000000"/>
        </w:rPr>
      </w:pPr>
      <w:bookmarkStart w:id="29" w:name="_Toc15377207"/>
      <w:bookmarkStart w:id="30" w:name="_Toc15396605"/>
      <w:r>
        <w:rPr>
          <w:rFonts w:ascii="方正黑体_GBK" w:eastAsia="方正黑体_GBK" w:hint="eastAsia"/>
          <w:color w:val="000000"/>
          <w:sz w:val="32"/>
          <w:szCs w:val="32"/>
        </w:rPr>
        <w:t>三、支</w:t>
      </w:r>
      <w:r>
        <w:rPr>
          <w:rStyle w:val="2Char"/>
          <w:rFonts w:ascii="方正黑体_GBK" w:eastAsia="方正黑体_GBK" w:hint="eastAsia"/>
          <w:b w:val="0"/>
          <w:color w:val="000000"/>
        </w:rPr>
        <w:t>出决算情况说明</w:t>
      </w:r>
      <w:bookmarkEnd w:id="29"/>
      <w:bookmarkEnd w:id="30"/>
    </w:p>
    <w:p>
      <w:pPr>
        <w:spacing w:line="540" w:lineRule="exact"/>
        <w:ind w:firstLineChars="200" w:firstLine="640"/>
        <w:outlineLvl w:val="1"/>
        <w:rPr>
          <w:rFonts w:eastAsia="方正仿宋_GBK"/>
          <w:color w:val="000000"/>
          <w:sz w:val="32"/>
          <w:szCs w:val="32"/>
        </w:rPr>
      </w:pPr>
      <w:r>
        <w:rPr>
          <w:rFonts w:ascii="仿宋" w:eastAsia="仿宋" w:cs="仿宋" w:hint="eastAsia"/>
          <w:color w:val="000000"/>
          <w:sz w:val="32"/>
          <w:szCs w:val="32"/>
        </w:rPr>
        <w:t>2019年本年支出合计8747.35万元，其中：基本支出5780.22万元，占66.08%；项目支出2967.13万元，占33.92%；上缴上级支出0万元，占0%；经营支出0万元，占0%；对附属单位补助支出0万元，占0%。</w:t>
      </w:r>
    </w:p>
    <w:p>
      <w:pPr>
        <w:spacing w:line="540" w:lineRule="exact"/>
        <w:ind w:firstLineChars="200" w:firstLine="640"/>
        <w:outlineLvl w:val="1"/>
        <w:rPr>
          <w:rStyle w:val="2Char"/>
          <w:rFonts w:ascii="方正黑体_GBK" w:eastAsia="方正黑体_GBK"/>
          <w:b w:val="0"/>
          <w:color w:val="000000"/>
        </w:rPr>
      </w:pPr>
      <w:bookmarkStart w:id="31" w:name="_Toc15396606"/>
      <w:bookmarkStart w:id="32" w:name="_Toc15377208"/>
      <w:r>
        <w:rPr>
          <w:rStyle w:val="2Char"/>
          <w:rFonts w:ascii="方正黑体_GBK" w:eastAsia="方正黑体_GBK" w:hint="eastAsia"/>
        </w:rPr>
        <w:t>四、</w:t>
      </w:r>
      <w:r>
        <w:rPr>
          <w:rStyle w:val="2Char"/>
          <w:rFonts w:ascii="方正黑体_GBK" w:eastAsia="方正黑体_GBK" w:hint="eastAsia"/>
          <w:b w:val="0"/>
          <w:color w:val="000000"/>
        </w:rPr>
        <w:t>财政拨款收入支出决算总体情况说明</w:t>
      </w:r>
      <w:bookmarkEnd w:id="31"/>
      <w:bookmarkEnd w:id="32"/>
    </w:p>
    <w:p>
      <w:pPr>
        <w:spacing w:line="540" w:lineRule="exact"/>
        <w:ind w:firstLine="640"/>
        <w:rPr>
          <w:rFonts w:ascii="仿宋" w:eastAsia="仿宋" w:cs="仿宋"/>
          <w:color w:val="000000"/>
          <w:sz w:val="32"/>
          <w:szCs w:val="32"/>
        </w:rPr>
      </w:pPr>
      <w:r>
        <w:rPr>
          <w:rFonts w:ascii="仿宋" w:eastAsia="仿宋" w:cs="仿宋" w:hint="eastAsia"/>
          <w:color w:val="000000"/>
          <w:sz w:val="32"/>
          <w:szCs w:val="32"/>
        </w:rPr>
        <w:t>2019年财政拨款收、支总计8747.35万元。与2018年相比，财政拨款收、支总计各增加4791.76万元，增加121.14%。主要变动原因是区划调整人员大幅增加。</w:t>
      </w:r>
    </w:p>
    <w:p>
      <w:pPr>
        <w:spacing w:line="540" w:lineRule="exact"/>
        <w:ind w:firstLineChars="200" w:firstLine="640"/>
        <w:outlineLvl w:val="1"/>
        <w:rPr>
          <w:rStyle w:val="2Char"/>
          <w:rFonts w:ascii="方正黑体_GBK" w:eastAsia="方正黑体_GBK"/>
          <w:b w:val="0"/>
          <w:color w:val="000000"/>
        </w:rPr>
      </w:pPr>
      <w:bookmarkStart w:id="33" w:name="_Toc15396607"/>
      <w:bookmarkStart w:id="34" w:name="_Toc15377209"/>
      <w:r>
        <w:rPr>
          <w:rStyle w:val="2Char"/>
          <w:rFonts w:ascii="方正黑体_GBK" w:eastAsia="方正黑体_GBK" w:hint="eastAsia"/>
        </w:rPr>
        <w:t>五、一</w:t>
      </w:r>
      <w:r>
        <w:rPr>
          <w:rStyle w:val="2Char"/>
          <w:rFonts w:ascii="方正黑体_GBK" w:eastAsia="方正黑体_GBK" w:hint="eastAsia"/>
          <w:b w:val="0"/>
          <w:color w:val="000000"/>
        </w:rPr>
        <w:t>般公共预算财政拨款支出决算情况说明</w:t>
      </w:r>
      <w:bookmarkEnd w:id="33"/>
      <w:bookmarkEnd w:id="34"/>
    </w:p>
    <w:p>
      <w:pPr>
        <w:spacing w:line="540" w:lineRule="exact"/>
        <w:ind w:firstLineChars="200" w:firstLine="640"/>
        <w:outlineLvl w:val="2"/>
        <w:rPr>
          <w:rFonts w:ascii="方正楷体简体" w:eastAsia="方正楷体简体"/>
          <w:b/>
          <w:color w:val="000000"/>
          <w:sz w:val="32"/>
          <w:szCs w:val="32"/>
        </w:rPr>
      </w:pPr>
      <w:bookmarkStart w:id="35" w:name="_Toc15377210"/>
      <w:r>
        <w:rPr>
          <w:rFonts w:ascii="方正楷体简体" w:eastAsia="方正楷体简体" w:hint="eastAsia"/>
          <w:b/>
          <w:color w:val="000000"/>
          <w:sz w:val="32"/>
          <w:szCs w:val="32"/>
        </w:rPr>
        <w:t>（一）一般公共预算财政拨款支出决算总体情况</w:t>
      </w:r>
      <w:bookmarkEnd w:id="35"/>
    </w:p>
    <w:p>
      <w:pPr>
        <w:spacing w:line="540" w:lineRule="exact"/>
        <w:ind w:firstLineChars="200" w:firstLine="640"/>
        <w:rPr>
          <w:rFonts w:ascii="仿宋" w:eastAsia="仿宋" w:cs="仿宋"/>
          <w:color w:val="000000"/>
          <w:sz w:val="32"/>
          <w:szCs w:val="32"/>
        </w:rPr>
      </w:pPr>
      <w:r>
        <w:rPr>
          <w:rFonts w:ascii="仿宋" w:eastAsia="仿宋" w:cs="仿宋" w:hint="eastAsia"/>
          <w:color w:val="000000"/>
          <w:sz w:val="32"/>
          <w:szCs w:val="32"/>
        </w:rPr>
        <w:t>2019年一般公共预算财政拨款支出7621.80万元，占本年支出合计的87.13%。与2018年相比，一般公共预算财政拨款减少909.18万元，减少10.66%。主要变动原因是压缩人员经费开支。</w:t>
      </w:r>
    </w:p>
    <w:p>
      <w:pPr>
        <w:spacing w:line="540" w:lineRule="exact"/>
        <w:ind w:firstLineChars="200" w:firstLine="640"/>
        <w:outlineLvl w:val="2"/>
        <w:rPr>
          <w:rFonts w:ascii="方正楷体简体" w:eastAsia="方正楷体简体"/>
          <w:b/>
          <w:color w:val="000000"/>
          <w:sz w:val="32"/>
          <w:szCs w:val="32"/>
        </w:rPr>
      </w:pPr>
      <w:bookmarkStart w:id="36" w:name="_Toc15377211"/>
      <w:r>
        <w:rPr>
          <w:rFonts w:ascii="方正楷体简体" w:eastAsia="方正楷体简体" w:hint="eastAsia"/>
          <w:b/>
          <w:color w:val="000000"/>
          <w:sz w:val="32"/>
          <w:szCs w:val="32"/>
        </w:rPr>
        <w:t>（二）一般公共预算财政拨款支出决算结构情况</w:t>
      </w:r>
      <w:bookmarkEnd w:id="36"/>
    </w:p>
    <w:p>
      <w:pPr>
        <w:spacing w:line="540" w:lineRule="exact"/>
        <w:ind w:firstLine="640"/>
        <w:rPr>
          <w:rFonts w:ascii="仿宋" w:eastAsia="仿宋" w:cs="仿宋"/>
          <w:b/>
          <w:color w:val="000000"/>
          <w:sz w:val="32"/>
          <w:szCs w:val="32"/>
        </w:rPr>
      </w:pPr>
      <w:r>
        <w:rPr>
          <w:rFonts w:ascii="仿宋" w:eastAsia="仿宋" w:cs="仿宋" w:hint="eastAsia"/>
          <w:color w:val="000000"/>
          <w:sz w:val="32"/>
          <w:szCs w:val="32"/>
        </w:rPr>
        <w:t>2019年一般公共预算财政拨款支出7621.80万元，主要用于以下方面:</w:t>
      </w:r>
      <w:r>
        <w:rPr>
          <w:rFonts w:ascii="仿宋" w:eastAsia="仿宋" w:cs="仿宋" w:hint="eastAsia"/>
          <w:b/>
          <w:color w:val="000000"/>
          <w:sz w:val="32"/>
          <w:szCs w:val="32"/>
        </w:rPr>
        <w:t>一般公共服务（类）</w:t>
      </w:r>
      <w:r>
        <w:rPr>
          <w:rFonts w:ascii="仿宋" w:eastAsia="仿宋" w:cs="仿宋" w:hint="eastAsia"/>
          <w:color w:val="000000"/>
          <w:sz w:val="32"/>
          <w:szCs w:val="32"/>
        </w:rPr>
        <w:t>支出2286.21万元，占30.00%；</w:t>
      </w:r>
      <w:r>
        <w:rPr>
          <w:rFonts w:ascii="仿宋" w:eastAsia="仿宋" w:cs="仿宋" w:hint="eastAsia"/>
          <w:b/>
          <w:bCs/>
          <w:color w:val="000000"/>
          <w:sz w:val="32"/>
          <w:szCs w:val="32"/>
        </w:rPr>
        <w:t>文化旅游体育与传媒（类）支出89.23万元，占1.17%</w:t>
      </w:r>
      <w:r>
        <w:rPr>
          <w:rFonts w:ascii="仿宋" w:eastAsia="仿宋" w:cs="仿宋" w:hint="eastAsia"/>
          <w:color w:val="000000"/>
          <w:sz w:val="32"/>
          <w:szCs w:val="32"/>
        </w:rPr>
        <w:t>；</w:t>
      </w:r>
      <w:r>
        <w:rPr>
          <w:rFonts w:ascii="仿宋" w:eastAsia="仿宋" w:cs="仿宋" w:hint="eastAsia"/>
          <w:b/>
          <w:color w:val="000000"/>
          <w:sz w:val="32"/>
          <w:szCs w:val="32"/>
        </w:rPr>
        <w:t>社会保障和就业（类）</w:t>
      </w:r>
      <w:r>
        <w:rPr>
          <w:rFonts w:ascii="仿宋" w:eastAsia="仿宋" w:cs="仿宋" w:hint="eastAsia"/>
          <w:color w:val="000000"/>
          <w:sz w:val="32"/>
          <w:szCs w:val="32"/>
        </w:rPr>
        <w:t>支出1676.69万元，占22.00%；</w:t>
      </w:r>
      <w:r>
        <w:rPr>
          <w:rFonts w:ascii="仿宋" w:eastAsia="仿宋" w:cs="仿宋" w:hint="eastAsia"/>
          <w:b/>
          <w:bCs/>
          <w:color w:val="000000"/>
          <w:sz w:val="32"/>
          <w:szCs w:val="32"/>
        </w:rPr>
        <w:t>卫生健康支出</w:t>
      </w:r>
      <w:r>
        <w:rPr>
          <w:rFonts w:ascii="仿宋" w:eastAsia="仿宋" w:cs="仿宋" w:hint="eastAsia"/>
          <w:color w:val="000000"/>
          <w:sz w:val="32"/>
          <w:szCs w:val="32"/>
        </w:rPr>
        <w:t>177.97万元，占2.33%；城乡社区支出（类）195.64万元，占2.57%；农林水支出（类）3009.70万元，占39.49%；住房保障支出136.36万元，占1.79%；其他支出（类）50.00万元，占0.65%。</w:t>
      </w:r>
    </w:p>
    <w:p>
      <w:pPr>
        <w:spacing w:line="540" w:lineRule="exact"/>
        <w:ind w:firstLineChars="200" w:firstLine="640"/>
        <w:outlineLvl w:val="2"/>
        <w:rPr>
          <w:rFonts w:ascii="方正楷体简体" w:eastAsia="方正楷体简体"/>
          <w:b/>
          <w:color w:val="000000"/>
          <w:sz w:val="32"/>
          <w:szCs w:val="32"/>
        </w:rPr>
      </w:pPr>
      <w:bookmarkStart w:id="37" w:name="_Toc15377212"/>
      <w:r>
        <w:rPr>
          <w:rFonts w:ascii="方正楷体简体" w:eastAsia="方正楷体简体" w:hint="eastAsia"/>
          <w:b/>
          <w:color w:val="000000"/>
          <w:sz w:val="32"/>
          <w:szCs w:val="32"/>
        </w:rPr>
        <w:t>（三）一般公共预算财政拨款支出决算具体情况</w:t>
      </w:r>
      <w:bookmarkEnd w:id="37"/>
    </w:p>
    <w:p>
      <w:pPr>
        <w:spacing w:line="540" w:lineRule="exact"/>
        <w:ind w:firstLineChars="200" w:firstLine="640"/>
        <w:outlineLvl w:val="2"/>
        <w:rPr>
          <w:rFonts w:eastAsia="方正仿宋_GBK"/>
          <w:color w:val="000000"/>
          <w:sz w:val="32"/>
          <w:szCs w:val="32"/>
        </w:rPr>
      </w:pPr>
      <w:bookmarkStart w:id="38" w:name="_Toc15377213"/>
      <w:bookmarkStart w:id="39" w:name="_Toc15377444"/>
      <w:bookmarkStart w:id="40" w:name="_Toc15378460"/>
      <w:r>
        <w:rPr>
          <w:rFonts w:eastAsia="方正仿宋_GBK"/>
          <w:b/>
          <w:color w:val="000000"/>
          <w:sz w:val="32"/>
          <w:szCs w:val="32"/>
        </w:rPr>
        <w:t>2019</w:t>
      </w:r>
      <w:r>
        <w:rPr>
          <w:rFonts w:eastAsia="方正仿宋_GBK" w:hint="eastAsia"/>
          <w:b/>
          <w:color w:val="000000"/>
          <w:sz w:val="32"/>
          <w:szCs w:val="32"/>
        </w:rPr>
        <w:t>年一般公共预算支出决算数为7621.80万元</w:t>
      </w:r>
      <w:r>
        <w:rPr>
          <w:rFonts w:eastAsia="方正仿宋_GBK" w:hint="eastAsia"/>
          <w:color w:val="000000"/>
          <w:sz w:val="32"/>
          <w:szCs w:val="32"/>
        </w:rPr>
        <w:t>，</w:t>
      </w:r>
      <w:r>
        <w:rPr>
          <w:rStyle w:val="22"/>
          <w:rFonts w:eastAsia="方正仿宋_GBK" w:hint="eastAsia"/>
          <w:bCs/>
          <w:color w:val="000000"/>
          <w:sz w:val="32"/>
          <w:szCs w:val="32"/>
        </w:rPr>
        <w:t>完成预算100</w:t>
      </w:r>
      <w:r>
        <w:rPr>
          <w:rStyle w:val="22"/>
          <w:rFonts w:eastAsia="方正仿宋_GBK"/>
          <w:bCs/>
          <w:color w:val="000000"/>
          <w:sz w:val="32"/>
          <w:szCs w:val="32"/>
        </w:rPr>
        <w:t>%</w:t>
      </w:r>
      <w:r>
        <w:rPr>
          <w:rStyle w:val="22"/>
          <w:rFonts w:eastAsia="方正仿宋_GBK" w:hint="eastAsia"/>
          <w:bCs/>
          <w:color w:val="000000"/>
          <w:sz w:val="32"/>
          <w:szCs w:val="32"/>
        </w:rPr>
        <w:t>。其中：</w:t>
      </w:r>
      <w:bookmarkEnd w:id="38"/>
      <w:bookmarkEnd w:id="39"/>
      <w:bookmarkEnd w:id="40"/>
    </w:p>
    <w:p>
      <w:pPr>
        <w:spacing w:line="600" w:lineRule="exact"/>
        <w:ind w:firstLineChars="200" w:firstLine="640"/>
        <w:rPr>
          <w:rStyle w:val="22"/>
          <w:rFonts w:ascii="仿宋" w:eastAsia="仿宋" w:cs="仿宋"/>
          <w:bCs/>
          <w:color w:val="000000"/>
          <w:sz w:val="32"/>
          <w:szCs w:val="32"/>
        </w:rPr>
      </w:pPr>
      <w:r>
        <w:rPr>
          <w:rStyle w:val="22"/>
          <w:rFonts w:ascii="仿宋" w:eastAsia="仿宋" w:cs="仿宋" w:hint="eastAsia"/>
          <w:bCs/>
          <w:color w:val="000000"/>
          <w:sz w:val="32"/>
          <w:szCs w:val="32"/>
        </w:rPr>
        <w:t>1.一般公共服务：</w:t>
      </w:r>
    </w:p>
    <w:p>
      <w:pPr>
        <w:spacing w:line="600" w:lineRule="exact"/>
        <w:ind w:firstLineChars="200" w:firstLine="640"/>
        <w:rPr>
          <w:rStyle w:val="22"/>
          <w:rFonts w:ascii="仿宋" w:eastAsia="仿宋" w:cs="仿宋"/>
          <w:bCs/>
          <w:color w:val="000000"/>
          <w:sz w:val="32"/>
          <w:szCs w:val="32"/>
        </w:rPr>
      </w:pPr>
      <w:r>
        <w:rPr>
          <w:rStyle w:val="22"/>
          <w:rFonts w:ascii="仿宋" w:eastAsia="仿宋" w:cs="仿宋" w:hint="eastAsia"/>
          <w:bCs/>
          <w:color w:val="000000"/>
          <w:sz w:val="32"/>
          <w:szCs w:val="32"/>
        </w:rPr>
        <w:t>2010301一般公共服务支出（类）政府办公厅（室）及相关机构事务（款）行政运行（项）</w:t>
      </w:r>
      <w:r>
        <w:rPr>
          <w:rStyle w:val="22"/>
          <w:rFonts w:ascii="仿宋" w:eastAsia="仿宋" w:cs="仿宋" w:hint="eastAsia"/>
          <w:b w:val="0"/>
          <w:color w:val="000000"/>
          <w:sz w:val="32"/>
          <w:szCs w:val="32"/>
        </w:rPr>
        <w:t>支出决算为1323.40万元，完成预算100%，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2010302一般公共服务支出（类）政府办公厅（室）及相关机构事务（款）一般行政管理事务（项）</w:t>
      </w:r>
      <w:r>
        <w:rPr>
          <w:rStyle w:val="22"/>
          <w:rFonts w:ascii="仿宋" w:eastAsia="仿宋" w:cs="仿宋" w:hint="eastAsia"/>
          <w:b w:val="0"/>
          <w:color w:val="000000"/>
          <w:sz w:val="32"/>
          <w:szCs w:val="32"/>
        </w:rPr>
        <w:t>支出决算为884万元，完成预算100%，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Cs/>
          <w:color w:val="000000"/>
          <w:sz w:val="32"/>
          <w:szCs w:val="32"/>
        </w:rPr>
      </w:pPr>
      <w:r>
        <w:rPr>
          <w:rStyle w:val="22"/>
          <w:rFonts w:ascii="仿宋" w:eastAsia="仿宋" w:cs="仿宋" w:hint="eastAsia"/>
          <w:bCs/>
          <w:color w:val="000000"/>
          <w:sz w:val="32"/>
          <w:szCs w:val="32"/>
        </w:rPr>
        <w:t>2010601一般公共服务支出（类）财政事务（款）行政运行（项）</w:t>
      </w:r>
      <w:r>
        <w:rPr>
          <w:rStyle w:val="22"/>
          <w:rFonts w:ascii="仿宋" w:eastAsia="仿宋" w:cs="仿宋" w:hint="eastAsia"/>
          <w:b w:val="0"/>
          <w:color w:val="000000"/>
          <w:sz w:val="32"/>
          <w:szCs w:val="32"/>
        </w:rPr>
        <w:t>支出决算为78.81万元，完成预算100%，</w:t>
      </w:r>
      <w:r>
        <w:rPr>
          <w:rStyle w:val="22"/>
          <w:rFonts w:ascii="仿宋" w:eastAsia="仿宋" w:cs="仿宋" w:hint="eastAsia"/>
          <w:b w:val="0"/>
          <w:bCs/>
          <w:color w:val="000000"/>
          <w:sz w:val="32"/>
          <w:szCs w:val="32"/>
        </w:rPr>
        <w:t>决算数等于预算数。</w:t>
      </w:r>
    </w:p>
    <w:p>
      <w:pPr>
        <w:spacing w:line="578" w:lineRule="exact"/>
        <w:ind w:firstLineChars="200" w:firstLine="640"/>
        <w:rPr>
          <w:rStyle w:val="22"/>
          <w:rFonts w:ascii="仿宋" w:eastAsia="仿宋" w:cs="仿宋"/>
          <w:color w:val="000000"/>
          <w:sz w:val="32"/>
          <w:szCs w:val="32"/>
        </w:rPr>
      </w:pPr>
      <w:r>
        <w:rPr>
          <w:rStyle w:val="22"/>
          <w:rFonts w:ascii="仿宋" w:eastAsia="仿宋" w:cs="仿宋" w:hint="eastAsia"/>
          <w:bCs/>
          <w:color w:val="000000"/>
          <w:sz w:val="32"/>
          <w:szCs w:val="32"/>
        </w:rPr>
        <w:t>2.</w:t>
      </w:r>
      <w:r>
        <w:rPr>
          <w:rStyle w:val="22"/>
          <w:rFonts w:ascii="仿宋" w:eastAsia="仿宋" w:cs="仿宋" w:hint="eastAsia"/>
          <w:color w:val="000000"/>
          <w:sz w:val="32"/>
          <w:szCs w:val="32"/>
        </w:rPr>
        <w:t>文化体育与传媒类：</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2070109文化体育与传媒支出（类）文化（款）群众文化支出（项）</w:t>
      </w:r>
      <w:r>
        <w:rPr>
          <w:rStyle w:val="22"/>
          <w:rFonts w:ascii="仿宋" w:eastAsia="仿宋" w:cs="仿宋" w:hint="eastAsia"/>
          <w:b w:val="0"/>
          <w:color w:val="000000"/>
          <w:sz w:val="32"/>
          <w:szCs w:val="32"/>
        </w:rPr>
        <w:t>支出决算为8.16万元，完成预算100%，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2070199文化体育与传媒支出（类）文化（款）其他文化支出（项）</w:t>
      </w:r>
      <w:r>
        <w:rPr>
          <w:rStyle w:val="22"/>
          <w:rFonts w:ascii="仿宋" w:eastAsia="仿宋" w:cs="仿宋" w:hint="eastAsia"/>
          <w:b w:val="0"/>
          <w:color w:val="000000"/>
          <w:sz w:val="32"/>
          <w:szCs w:val="32"/>
        </w:rPr>
        <w:t>支出决算为25.80万元，完成预算100%，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2070804文化体育与传媒支出（类）广播电视（款）广播（项）</w:t>
      </w:r>
      <w:r>
        <w:rPr>
          <w:rStyle w:val="22"/>
          <w:rFonts w:ascii="仿宋" w:eastAsia="仿宋" w:cs="仿宋" w:hint="eastAsia"/>
          <w:b w:val="0"/>
          <w:color w:val="000000"/>
          <w:sz w:val="32"/>
          <w:szCs w:val="32"/>
        </w:rPr>
        <w:t>支出决算为55.27万元，完成预算100%，</w:t>
      </w:r>
      <w:r>
        <w:rPr>
          <w:rStyle w:val="22"/>
          <w:rFonts w:ascii="仿宋" w:eastAsia="仿宋" w:cs="仿宋" w:hint="eastAsia"/>
          <w:b w:val="0"/>
          <w:bCs/>
          <w:color w:val="000000"/>
          <w:sz w:val="32"/>
          <w:szCs w:val="32"/>
        </w:rPr>
        <w:t>决算数等于预算数。</w:t>
      </w:r>
    </w:p>
    <w:p>
      <w:pPr>
        <w:spacing w:line="578" w:lineRule="exact"/>
        <w:ind w:firstLineChars="200" w:firstLine="640"/>
        <w:rPr>
          <w:rStyle w:val="22"/>
          <w:rFonts w:ascii="仿宋" w:eastAsia="仿宋" w:cs="仿宋"/>
          <w:color w:val="000000"/>
          <w:sz w:val="32"/>
          <w:szCs w:val="32"/>
        </w:rPr>
      </w:pPr>
      <w:r>
        <w:rPr>
          <w:rStyle w:val="22"/>
          <w:rFonts w:ascii="仿宋" w:eastAsia="仿宋" w:cs="仿宋" w:hint="eastAsia"/>
          <w:bCs/>
          <w:color w:val="000000"/>
          <w:sz w:val="32"/>
          <w:szCs w:val="32"/>
        </w:rPr>
        <w:t>3.</w:t>
      </w:r>
      <w:r>
        <w:rPr>
          <w:rStyle w:val="22"/>
          <w:rFonts w:ascii="仿宋" w:eastAsia="仿宋" w:cs="仿宋" w:hint="eastAsia"/>
          <w:color w:val="000000"/>
          <w:sz w:val="32"/>
          <w:szCs w:val="32"/>
        </w:rPr>
        <w:t>社会保障和就业：</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2080208社会保障和就业支出（类）民政管理事务（款）基层政权和社区建设（项）</w:t>
      </w:r>
      <w:r>
        <w:rPr>
          <w:rStyle w:val="22"/>
          <w:rFonts w:ascii="仿宋" w:eastAsia="仿宋" w:cs="仿宋" w:hint="eastAsia"/>
          <w:b w:val="0"/>
          <w:color w:val="000000"/>
          <w:sz w:val="32"/>
          <w:szCs w:val="32"/>
        </w:rPr>
        <w:t>支出决算为10万元，完成预算100%，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2080505社会保障和就业支出（类）行政事业单位离退休（款）机关事业单位基本养老保险费支出（项）</w:t>
      </w:r>
      <w:r>
        <w:rPr>
          <w:rStyle w:val="22"/>
          <w:rFonts w:ascii="仿宋" w:eastAsia="仿宋" w:cs="仿宋" w:hint="eastAsia"/>
          <w:b w:val="0"/>
          <w:color w:val="000000"/>
          <w:sz w:val="32"/>
          <w:szCs w:val="32"/>
        </w:rPr>
        <w:t>支出决算为193.79万元，完成预算100%，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2080506社会保障和就业支出（类）行政事业单位离退休（款）机关事业单位职业年金缴费支出（项）</w:t>
      </w:r>
      <w:r>
        <w:rPr>
          <w:rStyle w:val="22"/>
          <w:rFonts w:ascii="仿宋" w:eastAsia="仿宋" w:cs="仿宋" w:hint="eastAsia"/>
          <w:b w:val="0"/>
          <w:color w:val="000000"/>
          <w:sz w:val="32"/>
          <w:szCs w:val="32"/>
        </w:rPr>
        <w:t>支出决算为4.43万元，完成预算100%，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2080801社会保障和就业支出（类）抚恤（款）死亡抚恤（项）</w:t>
      </w:r>
      <w:r>
        <w:rPr>
          <w:rStyle w:val="22"/>
          <w:rFonts w:ascii="仿宋" w:eastAsia="仿宋" w:cs="仿宋" w:hint="eastAsia"/>
          <w:b w:val="0"/>
          <w:color w:val="000000"/>
          <w:sz w:val="32"/>
          <w:szCs w:val="32"/>
        </w:rPr>
        <w:t>支出决算为42.15万元，完成预算100%，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2080803社会保障和就业支出（类）抚恤（款）在乡复员、退伍军人生活补助（项）</w:t>
      </w:r>
      <w:r>
        <w:rPr>
          <w:rStyle w:val="22"/>
          <w:rFonts w:ascii="仿宋" w:eastAsia="仿宋" w:cs="仿宋" w:hint="eastAsia"/>
          <w:b w:val="0"/>
          <w:color w:val="000000"/>
          <w:sz w:val="32"/>
          <w:szCs w:val="32"/>
        </w:rPr>
        <w:t>支出决算为953.26万元，完成预算100%，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2080805社会保障和就业支出（类）抚恤（款）义务兵优待（项）</w:t>
      </w:r>
      <w:r>
        <w:rPr>
          <w:rStyle w:val="22"/>
          <w:rFonts w:ascii="仿宋" w:eastAsia="仿宋" w:cs="仿宋" w:hint="eastAsia"/>
          <w:b w:val="0"/>
          <w:color w:val="000000"/>
          <w:sz w:val="32"/>
          <w:szCs w:val="32"/>
        </w:rPr>
        <w:t>支出决算为71.33万元，完成预算100%，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2081199社会保障和就业支出（类）残疾人事业（款）其他残疾人事业支出（项）</w:t>
      </w:r>
      <w:r>
        <w:rPr>
          <w:rStyle w:val="22"/>
          <w:rFonts w:ascii="仿宋" w:eastAsia="仿宋" w:cs="仿宋" w:hint="eastAsia"/>
          <w:b w:val="0"/>
          <w:color w:val="000000"/>
          <w:sz w:val="32"/>
          <w:szCs w:val="32"/>
        </w:rPr>
        <w:t>支出决算为17.10万元，完成预算100%，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Fonts w:ascii="仿宋" w:eastAsia="仿宋" w:cs="仿宋"/>
          <w:b/>
          <w:bCs/>
          <w:color w:val="000000"/>
          <w:sz w:val="32"/>
          <w:szCs w:val="32"/>
        </w:rPr>
      </w:pPr>
      <w:r>
        <w:rPr>
          <w:rStyle w:val="22"/>
          <w:rFonts w:ascii="仿宋" w:eastAsia="仿宋" w:cs="仿宋" w:hint="eastAsia"/>
          <w:bCs/>
          <w:color w:val="000000"/>
          <w:sz w:val="32"/>
          <w:szCs w:val="32"/>
        </w:rPr>
        <w:t>2082102社会保障和就业支出（类）特困人员救助供养（款）  农村特困人员救助供养支出（项）</w:t>
      </w:r>
      <w:r>
        <w:rPr>
          <w:rStyle w:val="22"/>
          <w:rFonts w:ascii="仿宋" w:eastAsia="仿宋" w:cs="仿宋" w:hint="eastAsia"/>
          <w:b w:val="0"/>
          <w:color w:val="000000"/>
          <w:sz w:val="32"/>
          <w:szCs w:val="32"/>
        </w:rPr>
        <w:t>支出决算为384.63万元，完成预算100%，</w:t>
      </w:r>
      <w:r>
        <w:rPr>
          <w:rStyle w:val="22"/>
          <w:rFonts w:ascii="仿宋" w:eastAsia="仿宋" w:cs="仿宋" w:hint="eastAsia"/>
          <w:b w:val="0"/>
          <w:bCs/>
          <w:color w:val="000000"/>
          <w:sz w:val="32"/>
          <w:szCs w:val="32"/>
        </w:rPr>
        <w:t>决算数等于预算数。</w:t>
      </w:r>
    </w:p>
    <w:p>
      <w:pPr>
        <w:spacing w:line="578" w:lineRule="exact"/>
        <w:ind w:firstLineChars="200" w:firstLine="640"/>
        <w:rPr>
          <w:rStyle w:val="22"/>
          <w:rFonts w:ascii="仿宋" w:eastAsia="仿宋" w:cs="仿宋"/>
          <w:color w:val="000000"/>
          <w:sz w:val="32"/>
          <w:szCs w:val="32"/>
        </w:rPr>
      </w:pPr>
      <w:r>
        <w:rPr>
          <w:rStyle w:val="22"/>
          <w:rFonts w:ascii="仿宋" w:eastAsia="仿宋" w:cs="仿宋" w:hint="eastAsia"/>
          <w:bCs/>
          <w:color w:val="000000"/>
          <w:sz w:val="32"/>
          <w:szCs w:val="32"/>
        </w:rPr>
        <w:t>4.</w:t>
      </w:r>
      <w:r>
        <w:rPr>
          <w:rStyle w:val="22"/>
          <w:rFonts w:ascii="仿宋" w:eastAsia="仿宋" w:cs="仿宋" w:hint="eastAsia"/>
          <w:color w:val="000000"/>
          <w:sz w:val="32"/>
          <w:szCs w:val="32"/>
        </w:rPr>
        <w:t>医疗卫生与计划生育：</w:t>
      </w:r>
    </w:p>
    <w:p>
      <w:pPr>
        <w:spacing w:line="578"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2100716医疗卫生与计划生育支出（类）计划生育事务（款）计划生育机构（项）</w:t>
      </w:r>
      <w:r>
        <w:rPr>
          <w:rStyle w:val="22"/>
          <w:rFonts w:ascii="仿宋" w:eastAsia="仿宋" w:cs="仿宋" w:hint="eastAsia"/>
          <w:b w:val="0"/>
          <w:color w:val="000000"/>
          <w:sz w:val="32"/>
          <w:szCs w:val="32"/>
        </w:rPr>
        <w:t>支出决算为70.49万元，完成预算100%，</w:t>
      </w:r>
      <w:r>
        <w:rPr>
          <w:rStyle w:val="22"/>
          <w:rFonts w:ascii="仿宋" w:eastAsia="仿宋" w:cs="仿宋" w:hint="eastAsia"/>
          <w:b w:val="0"/>
          <w:bCs/>
          <w:color w:val="000000"/>
          <w:sz w:val="32"/>
          <w:szCs w:val="32"/>
        </w:rPr>
        <w:t xml:space="preserve">决算数等于预算数。                            </w:t>
      </w:r>
    </w:p>
    <w:p>
      <w:pPr>
        <w:spacing w:line="578"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2101101医疗卫生与计划生育支出（类）行政事业单位医疗（款）行政单位医疗（项）</w:t>
      </w:r>
      <w:r>
        <w:rPr>
          <w:rStyle w:val="22"/>
          <w:rFonts w:ascii="仿宋" w:eastAsia="仿宋" w:cs="仿宋" w:hint="eastAsia"/>
          <w:b w:val="0"/>
          <w:color w:val="000000"/>
          <w:sz w:val="32"/>
          <w:szCs w:val="32"/>
        </w:rPr>
        <w:t>支出决算为63.55万元，完成预算100%，</w:t>
      </w:r>
      <w:r>
        <w:rPr>
          <w:rStyle w:val="22"/>
          <w:rFonts w:ascii="仿宋" w:eastAsia="仿宋" w:cs="仿宋" w:hint="eastAsia"/>
          <w:b w:val="0"/>
          <w:bCs/>
          <w:color w:val="000000"/>
          <w:sz w:val="32"/>
          <w:szCs w:val="32"/>
        </w:rPr>
        <w:t xml:space="preserve">决算数等于预算数。                            </w:t>
      </w:r>
    </w:p>
    <w:p>
      <w:pPr>
        <w:spacing w:line="578"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2101102医疗卫生与计划生育支出（类）行政事业单位医疗（款）事业单位医疗（项）</w:t>
      </w:r>
      <w:r>
        <w:rPr>
          <w:rStyle w:val="22"/>
          <w:rFonts w:ascii="仿宋" w:eastAsia="仿宋" w:cs="仿宋" w:hint="eastAsia"/>
          <w:b w:val="0"/>
          <w:color w:val="000000"/>
          <w:sz w:val="32"/>
          <w:szCs w:val="32"/>
        </w:rPr>
        <w:t>支出决算为28.03万元，完成预算100%，</w:t>
      </w:r>
      <w:r>
        <w:rPr>
          <w:rStyle w:val="22"/>
          <w:rFonts w:ascii="仿宋" w:eastAsia="仿宋" w:cs="仿宋" w:hint="eastAsia"/>
          <w:b w:val="0"/>
          <w:bCs/>
          <w:color w:val="000000"/>
          <w:sz w:val="32"/>
          <w:szCs w:val="32"/>
        </w:rPr>
        <w:t xml:space="preserve">决算数等于预算数。 </w:t>
      </w:r>
    </w:p>
    <w:p>
      <w:pPr>
        <w:spacing w:line="578"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2101103医疗卫生与计划生育支出（类）行政事业单位医疗（款）公务员医疗补助（项）</w:t>
      </w:r>
      <w:r>
        <w:rPr>
          <w:rStyle w:val="22"/>
          <w:rFonts w:ascii="仿宋" w:eastAsia="仿宋" w:cs="仿宋" w:hint="eastAsia"/>
          <w:b w:val="0"/>
          <w:color w:val="000000"/>
          <w:sz w:val="32"/>
          <w:szCs w:val="32"/>
        </w:rPr>
        <w:t>支出决算为15.90万元，完成预算100%，</w:t>
      </w:r>
      <w:r>
        <w:rPr>
          <w:rStyle w:val="22"/>
          <w:rFonts w:ascii="仿宋" w:eastAsia="仿宋" w:cs="仿宋" w:hint="eastAsia"/>
          <w:b w:val="0"/>
          <w:bCs/>
          <w:color w:val="000000"/>
          <w:sz w:val="32"/>
          <w:szCs w:val="32"/>
        </w:rPr>
        <w:t xml:space="preserve">决算数等于预算数。                                                   </w:t>
      </w:r>
    </w:p>
    <w:p>
      <w:pPr>
        <w:spacing w:line="578" w:lineRule="exact"/>
        <w:ind w:firstLineChars="200" w:firstLine="640"/>
        <w:rPr>
          <w:rStyle w:val="22"/>
          <w:rFonts w:ascii="仿宋" w:eastAsia="仿宋" w:cs="仿宋"/>
          <w:color w:val="000000"/>
          <w:sz w:val="32"/>
          <w:szCs w:val="32"/>
        </w:rPr>
      </w:pPr>
      <w:r>
        <w:rPr>
          <w:rStyle w:val="22"/>
          <w:rFonts w:ascii="仿宋" w:eastAsia="仿宋" w:cs="仿宋" w:hint="eastAsia"/>
          <w:color w:val="000000"/>
          <w:sz w:val="32"/>
          <w:szCs w:val="32"/>
        </w:rPr>
        <w:t>5.城乡社区支出：</w:t>
      </w:r>
    </w:p>
    <w:p>
      <w:pPr>
        <w:spacing w:line="578"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2129901城乡社区支出（类）其他城乡社区支出（款）其他城乡社区支出（项）</w:t>
      </w:r>
      <w:r>
        <w:rPr>
          <w:rStyle w:val="22"/>
          <w:rFonts w:ascii="仿宋" w:eastAsia="仿宋" w:cs="仿宋" w:hint="eastAsia"/>
          <w:b w:val="0"/>
          <w:color w:val="000000"/>
          <w:sz w:val="32"/>
          <w:szCs w:val="32"/>
        </w:rPr>
        <w:t>支出决算为195.64万元，完成预算100%，</w:t>
      </w:r>
      <w:r>
        <w:rPr>
          <w:rStyle w:val="22"/>
          <w:rFonts w:ascii="仿宋" w:eastAsia="仿宋" w:cs="仿宋" w:hint="eastAsia"/>
          <w:b w:val="0"/>
          <w:bCs/>
          <w:color w:val="000000"/>
          <w:sz w:val="32"/>
          <w:szCs w:val="32"/>
        </w:rPr>
        <w:t xml:space="preserve">决算数等于预算数。                            </w:t>
      </w:r>
    </w:p>
    <w:p>
      <w:pPr>
        <w:spacing w:line="600" w:lineRule="exact"/>
        <w:ind w:firstLineChars="200" w:firstLine="640"/>
        <w:rPr>
          <w:rStyle w:val="22"/>
          <w:rFonts w:ascii="仿宋" w:eastAsia="仿宋" w:cs="仿宋"/>
          <w:bCs/>
          <w:color w:val="000000"/>
          <w:sz w:val="32"/>
          <w:szCs w:val="32"/>
        </w:rPr>
      </w:pPr>
      <w:r>
        <w:rPr>
          <w:rStyle w:val="22"/>
          <w:rFonts w:ascii="仿宋" w:eastAsia="仿宋" w:cs="仿宋" w:hint="eastAsia"/>
          <w:color w:val="000000"/>
          <w:sz w:val="32"/>
          <w:szCs w:val="32"/>
        </w:rPr>
        <w:t>6.农林水支出：</w:t>
      </w:r>
    </w:p>
    <w:p>
      <w:pPr>
        <w:spacing w:line="578"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2130104农林水支出（类）农业（款）事业运行（项）</w:t>
      </w:r>
      <w:r>
        <w:rPr>
          <w:rStyle w:val="22"/>
          <w:rFonts w:ascii="仿宋" w:eastAsia="仿宋" w:cs="仿宋" w:hint="eastAsia"/>
          <w:b w:val="0"/>
          <w:color w:val="000000"/>
          <w:sz w:val="32"/>
          <w:szCs w:val="32"/>
        </w:rPr>
        <w:t>支出决算为55.59万元，完成预算100%，</w:t>
      </w:r>
      <w:r>
        <w:rPr>
          <w:rStyle w:val="22"/>
          <w:rFonts w:ascii="仿宋" w:eastAsia="仿宋" w:cs="仿宋" w:hint="eastAsia"/>
          <w:b w:val="0"/>
          <w:bCs/>
          <w:color w:val="000000"/>
          <w:sz w:val="32"/>
          <w:szCs w:val="32"/>
        </w:rPr>
        <w:t xml:space="preserve">决算数等于预算数。                            </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2130142 农林水支出（类）农业（款）农村道路建设（项）</w:t>
      </w:r>
      <w:r>
        <w:rPr>
          <w:rStyle w:val="22"/>
          <w:rFonts w:ascii="仿宋" w:eastAsia="仿宋" w:cs="仿宋" w:hint="eastAsia"/>
          <w:b w:val="0"/>
          <w:color w:val="000000"/>
          <w:sz w:val="32"/>
          <w:szCs w:val="32"/>
        </w:rPr>
        <w:t>支出决算为82.00万元，完成预算100%，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2130152 农林水支出（类）农业（款）对高校毕业生到基层任职补助（项）</w:t>
      </w:r>
      <w:r>
        <w:rPr>
          <w:rStyle w:val="22"/>
          <w:rFonts w:ascii="仿宋" w:eastAsia="仿宋" w:cs="仿宋" w:hint="eastAsia"/>
          <w:b w:val="0"/>
          <w:color w:val="000000"/>
          <w:sz w:val="32"/>
          <w:szCs w:val="32"/>
        </w:rPr>
        <w:t>支出决算为3.67万元，完成预算100%，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2130316 农林水支出（类）水利（款）农田水利（项）</w:t>
      </w:r>
      <w:r>
        <w:rPr>
          <w:rStyle w:val="22"/>
          <w:rFonts w:ascii="仿宋" w:eastAsia="仿宋" w:cs="仿宋" w:hint="eastAsia"/>
          <w:b w:val="0"/>
          <w:color w:val="000000"/>
          <w:sz w:val="32"/>
          <w:szCs w:val="32"/>
        </w:rPr>
        <w:t>支出决算为15.00万元，完成预算100%，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2130504 农林水支出（类）扶贫（款）农村基础设施建设（项）</w:t>
      </w:r>
      <w:r>
        <w:rPr>
          <w:rStyle w:val="22"/>
          <w:rFonts w:ascii="仿宋" w:eastAsia="仿宋" w:cs="仿宋" w:hint="eastAsia"/>
          <w:b w:val="0"/>
          <w:color w:val="000000"/>
          <w:sz w:val="32"/>
          <w:szCs w:val="32"/>
        </w:rPr>
        <w:t>支出决算为47.00万元，完成预算100%，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2130599 农林水支出（类）扶贫（款）其他扶贫支出（项）</w:t>
      </w:r>
      <w:r>
        <w:rPr>
          <w:rStyle w:val="22"/>
          <w:rFonts w:ascii="仿宋" w:eastAsia="仿宋" w:cs="仿宋" w:hint="eastAsia"/>
          <w:b w:val="0"/>
          <w:color w:val="000000"/>
          <w:sz w:val="32"/>
          <w:szCs w:val="32"/>
        </w:rPr>
        <w:t>支出决算为59.78万元，完成预算100%，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2130705农林水支出（类）农村综合改革（款）对村民委员会和村党支部的补助（项）</w:t>
      </w:r>
      <w:r>
        <w:rPr>
          <w:rStyle w:val="22"/>
          <w:rFonts w:ascii="仿宋" w:eastAsia="仿宋" w:cs="仿宋" w:hint="eastAsia"/>
          <w:b w:val="0"/>
          <w:color w:val="000000"/>
          <w:sz w:val="32"/>
          <w:szCs w:val="32"/>
        </w:rPr>
        <w:t>支出决算为2539.66万元，完成预算100%，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2130706农林水支出（类）农村综合改革（款）对村集体经济组织的补助（项）</w:t>
      </w:r>
      <w:r>
        <w:rPr>
          <w:rStyle w:val="22"/>
          <w:rFonts w:ascii="仿宋" w:eastAsia="仿宋" w:cs="仿宋" w:hint="eastAsia"/>
          <w:b w:val="0"/>
          <w:color w:val="000000"/>
          <w:sz w:val="32"/>
          <w:szCs w:val="32"/>
        </w:rPr>
        <w:t>支出决算为160.00万元，完成预算100%，</w:t>
      </w:r>
      <w:r>
        <w:rPr>
          <w:rStyle w:val="22"/>
          <w:rFonts w:ascii="仿宋" w:eastAsia="仿宋" w:cs="仿宋" w:hint="eastAsia"/>
          <w:b w:val="0"/>
          <w:bCs/>
          <w:color w:val="000000"/>
          <w:sz w:val="32"/>
          <w:szCs w:val="32"/>
        </w:rPr>
        <w:t>决算数等于预算数。</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2139999农林水支出（类）其他农林水支出（款）其他农林水支出（项）</w:t>
      </w:r>
      <w:r>
        <w:rPr>
          <w:rStyle w:val="22"/>
          <w:rFonts w:ascii="仿宋" w:eastAsia="仿宋" w:cs="仿宋" w:hint="eastAsia"/>
          <w:b w:val="0"/>
          <w:color w:val="000000"/>
          <w:sz w:val="32"/>
          <w:szCs w:val="32"/>
        </w:rPr>
        <w:t>支出决算为24.00万元，完成预算100%，</w:t>
      </w:r>
      <w:r>
        <w:rPr>
          <w:rStyle w:val="22"/>
          <w:rFonts w:ascii="仿宋" w:eastAsia="仿宋" w:cs="仿宋" w:hint="eastAsia"/>
          <w:b w:val="0"/>
          <w:bCs/>
          <w:color w:val="000000"/>
          <w:sz w:val="32"/>
          <w:szCs w:val="32"/>
        </w:rPr>
        <w:t>决算数等于预算数。</w:t>
      </w:r>
    </w:p>
    <w:p>
      <w:pPr>
        <w:spacing w:line="578" w:lineRule="exact"/>
        <w:ind w:firstLineChars="200" w:firstLine="640"/>
        <w:rPr>
          <w:rFonts w:ascii="仿宋" w:eastAsia="仿宋" w:cs="仿宋"/>
          <w:b/>
          <w:bCs/>
          <w:sz w:val="32"/>
          <w:szCs w:val="32"/>
        </w:rPr>
      </w:pPr>
      <w:r>
        <w:rPr>
          <w:rStyle w:val="22"/>
          <w:rFonts w:ascii="仿宋" w:eastAsia="仿宋" w:cs="仿宋" w:hint="eastAsia"/>
          <w:bCs/>
          <w:color w:val="000000"/>
          <w:sz w:val="32"/>
          <w:szCs w:val="32"/>
        </w:rPr>
        <w:t>7、住房保障支出</w:t>
      </w:r>
    </w:p>
    <w:p>
      <w:pPr>
        <w:spacing w:line="600" w:lineRule="exact"/>
        <w:ind w:firstLineChars="200" w:firstLine="640"/>
        <w:rPr>
          <w:rStyle w:val="22"/>
          <w:rFonts w:ascii="仿宋" w:eastAsia="仿宋" w:cs="仿宋"/>
          <w:b w:val="0"/>
          <w:bCs/>
          <w:color w:val="000000"/>
          <w:sz w:val="32"/>
          <w:szCs w:val="32"/>
        </w:rPr>
      </w:pPr>
      <w:r>
        <w:rPr>
          <w:rStyle w:val="22"/>
          <w:rFonts w:ascii="仿宋" w:eastAsia="仿宋" w:cs="仿宋" w:hint="eastAsia"/>
          <w:bCs/>
          <w:color w:val="000000"/>
          <w:sz w:val="32"/>
          <w:szCs w:val="32"/>
        </w:rPr>
        <w:t>2210201住房保障支出（类）住房改革支出（款）住房公积金（项）</w:t>
      </w:r>
      <w:r>
        <w:rPr>
          <w:rStyle w:val="22"/>
          <w:rFonts w:ascii="仿宋" w:eastAsia="仿宋" w:cs="仿宋" w:hint="eastAsia"/>
          <w:b w:val="0"/>
          <w:color w:val="000000"/>
          <w:sz w:val="32"/>
          <w:szCs w:val="32"/>
        </w:rPr>
        <w:t>支出</w:t>
      </w:r>
      <w:r>
        <w:rPr>
          <w:rFonts w:ascii="仿宋" w:eastAsia="仿宋" w:cs="仿宋" w:hint="eastAsia"/>
          <w:sz w:val="32"/>
          <w:szCs w:val="32"/>
        </w:rPr>
        <w:t>决算数136.36万元，</w:t>
      </w:r>
      <w:r>
        <w:rPr>
          <w:rStyle w:val="22"/>
          <w:rFonts w:ascii="仿宋" w:eastAsia="仿宋" w:cs="仿宋" w:hint="eastAsia"/>
          <w:b w:val="0"/>
          <w:color w:val="000000"/>
          <w:sz w:val="32"/>
          <w:szCs w:val="32"/>
        </w:rPr>
        <w:t>完成预算100%，</w:t>
      </w:r>
      <w:r>
        <w:rPr>
          <w:rStyle w:val="22"/>
          <w:rFonts w:ascii="仿宋" w:eastAsia="仿宋" w:cs="仿宋" w:hint="eastAsia"/>
          <w:b w:val="0"/>
          <w:bCs/>
          <w:color w:val="000000"/>
          <w:sz w:val="32"/>
          <w:szCs w:val="32"/>
        </w:rPr>
        <w:t>决算数等于预算数。</w:t>
      </w:r>
    </w:p>
    <w:p>
      <w:pPr>
        <w:spacing w:line="578" w:lineRule="exact"/>
        <w:ind w:firstLineChars="200" w:firstLine="640"/>
        <w:rPr>
          <w:rFonts w:ascii="仿宋" w:eastAsia="仿宋" w:cs="仿宋"/>
          <w:b/>
          <w:bCs/>
          <w:sz w:val="32"/>
          <w:szCs w:val="32"/>
        </w:rPr>
      </w:pPr>
      <w:r>
        <w:rPr>
          <w:rStyle w:val="22"/>
          <w:rFonts w:ascii="仿宋" w:eastAsia="仿宋" w:cs="仿宋" w:hint="eastAsia"/>
          <w:bCs/>
          <w:color w:val="000000"/>
          <w:sz w:val="32"/>
          <w:szCs w:val="32"/>
        </w:rPr>
        <w:t>8、其他支出：</w:t>
      </w:r>
    </w:p>
    <w:p>
      <w:pPr>
        <w:spacing w:line="578" w:lineRule="exact"/>
        <w:ind w:leftChars="200" w:left="420" w:firstLineChars="100" w:firstLine="320"/>
        <w:rPr>
          <w:rStyle w:val="22"/>
          <w:rFonts w:ascii="仿宋" w:eastAsia="仿宋" w:cs="仿宋"/>
          <w:bCs/>
          <w:color w:val="000000"/>
          <w:sz w:val="32"/>
          <w:szCs w:val="32"/>
        </w:rPr>
      </w:pPr>
      <w:r>
        <w:rPr>
          <w:rStyle w:val="22"/>
          <w:rFonts w:ascii="仿宋" w:eastAsia="仿宋" w:cs="仿宋" w:hint="eastAsia"/>
          <w:bCs/>
          <w:color w:val="000000"/>
          <w:sz w:val="32"/>
          <w:szCs w:val="32"/>
        </w:rPr>
        <w:t>2299901其他支出（类）其他支出（款）其他支出（项）</w:t>
      </w:r>
      <w:r>
        <w:rPr>
          <w:rStyle w:val="22"/>
          <w:rFonts w:ascii="仿宋" w:eastAsia="仿宋" w:cs="仿宋" w:hint="eastAsia"/>
          <w:b w:val="0"/>
          <w:color w:val="000000"/>
          <w:sz w:val="32"/>
          <w:szCs w:val="32"/>
        </w:rPr>
        <w:t>支出</w:t>
      </w:r>
      <w:r>
        <w:rPr>
          <w:rFonts w:ascii="仿宋" w:eastAsia="仿宋" w:cs="仿宋" w:hint="eastAsia"/>
          <w:sz w:val="32"/>
          <w:szCs w:val="32"/>
        </w:rPr>
        <w:t>决算数50.00万元，</w:t>
      </w:r>
      <w:r>
        <w:rPr>
          <w:rStyle w:val="22"/>
          <w:rFonts w:ascii="仿宋" w:eastAsia="仿宋" w:cs="仿宋" w:hint="eastAsia"/>
          <w:b w:val="0"/>
          <w:color w:val="000000"/>
          <w:sz w:val="32"/>
          <w:szCs w:val="32"/>
        </w:rPr>
        <w:t>完成预算100%，</w:t>
      </w:r>
      <w:r>
        <w:rPr>
          <w:rStyle w:val="22"/>
          <w:rFonts w:ascii="仿宋" w:eastAsia="仿宋" w:cs="仿宋" w:hint="eastAsia"/>
          <w:b w:val="0"/>
          <w:bCs/>
          <w:color w:val="000000"/>
          <w:sz w:val="32"/>
          <w:szCs w:val="32"/>
        </w:rPr>
        <w:t>决算数等于预算数。</w:t>
      </w:r>
    </w:p>
    <w:p>
      <w:pPr>
        <w:tabs>
          <w:tab w:val="right" w:pos="8306"/>
        </w:tabs>
        <w:spacing w:line="540" w:lineRule="exact"/>
        <w:ind w:firstLineChars="200" w:firstLine="640"/>
        <w:outlineLvl w:val="1"/>
        <w:rPr>
          <w:rStyle w:val="2Char"/>
          <w:rFonts w:ascii="方正黑体_GBK" w:eastAsia="方正黑体_GBK"/>
          <w:color w:val="000000"/>
        </w:rPr>
      </w:pPr>
      <w:bookmarkStart w:id="41" w:name="_Toc15377214"/>
      <w:bookmarkStart w:id="42" w:name="_Toc15396608"/>
      <w:r>
        <w:rPr>
          <w:rFonts w:ascii="方正黑体_GBK" w:eastAsia="方正黑体_GBK" w:hint="eastAsia"/>
          <w:color w:val="000000"/>
          <w:sz w:val="32"/>
          <w:szCs w:val="32"/>
        </w:rPr>
        <w:t>六</w:t>
      </w:r>
      <w:r>
        <w:rPr>
          <w:rFonts w:ascii="方正黑体_GBK" w:eastAsia="方正黑体_GBK" w:hint="eastAsia"/>
          <w:b/>
          <w:color w:val="000000"/>
          <w:sz w:val="32"/>
          <w:szCs w:val="32"/>
        </w:rPr>
        <w:t>、一</w:t>
      </w:r>
      <w:r>
        <w:rPr>
          <w:rStyle w:val="2Char"/>
          <w:rFonts w:ascii="方正黑体_GBK" w:eastAsia="方正黑体_GBK" w:hint="eastAsia"/>
          <w:b w:val="0"/>
          <w:color w:val="000000"/>
        </w:rPr>
        <w:t>般公共预算财政拨款基本支出决算情况说明</w:t>
      </w:r>
      <w:bookmarkEnd w:id="41"/>
      <w:bookmarkEnd w:id="42"/>
    </w:p>
    <w:p>
      <w:pPr>
        <w:spacing w:line="540" w:lineRule="exact"/>
        <w:ind w:firstLine="645"/>
        <w:rPr>
          <w:rFonts w:ascii="仿宋" w:eastAsia="仿宋" w:cs="仿宋"/>
          <w:color w:val="000000"/>
          <w:sz w:val="32"/>
          <w:szCs w:val="32"/>
        </w:rPr>
      </w:pPr>
      <w:r>
        <w:rPr>
          <w:rFonts w:ascii="仿宋" w:eastAsia="仿宋" w:cs="仿宋" w:hint="eastAsia"/>
          <w:color w:val="000000"/>
          <w:sz w:val="32"/>
          <w:szCs w:val="32"/>
        </w:rPr>
        <w:t>2019年一般公共预算财政拨款基本支出5780.22万元，其中：</w:t>
      </w:r>
    </w:p>
    <w:p>
      <w:pPr>
        <w:spacing w:line="540" w:lineRule="exact"/>
        <w:ind w:firstLine="645"/>
        <w:rPr>
          <w:rFonts w:ascii="仿宋" w:eastAsia="仿宋" w:cs="仿宋"/>
          <w:color w:val="000000"/>
          <w:sz w:val="32"/>
          <w:szCs w:val="32"/>
        </w:rPr>
      </w:pPr>
      <w:r>
        <w:rPr>
          <w:rFonts w:ascii="仿宋" w:eastAsia="仿宋" w:cs="仿宋" w:hint="eastAsia"/>
          <w:color w:val="000000"/>
          <w:sz w:val="32"/>
          <w:szCs w:val="32"/>
        </w:rPr>
        <w:t>人员经费5015.58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40" w:lineRule="exact"/>
        <w:ind w:firstLine="645"/>
        <w:rPr>
          <w:rFonts w:ascii="仿宋" w:eastAsia="仿宋" w:cs="仿宋"/>
          <w:color w:val="000000"/>
          <w:sz w:val="32"/>
          <w:szCs w:val="32"/>
        </w:rPr>
      </w:pPr>
      <w:r>
        <w:rPr>
          <w:rFonts w:ascii="仿宋" w:eastAsia="仿宋" w:cs="仿宋" w:hint="eastAsia"/>
          <w:color w:val="000000"/>
          <w:sz w:val="32"/>
          <w:szCs w:val="32"/>
        </w:rPr>
        <w:t>日常公用经费764.64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tabs>
          <w:tab w:val="right" w:pos="8306"/>
        </w:tabs>
        <w:spacing w:line="540" w:lineRule="exact"/>
        <w:ind w:firstLine="640"/>
        <w:outlineLvl w:val="1"/>
        <w:rPr>
          <w:rFonts w:ascii="方正黑体_GBK" w:eastAsia="方正黑体_GBK"/>
          <w:bCs/>
          <w:sz w:val="32"/>
          <w:szCs w:val="32"/>
        </w:rPr>
      </w:pPr>
      <w:bookmarkStart w:id="43" w:name="_Toc15396609"/>
      <w:bookmarkStart w:id="44" w:name="_Toc15377215"/>
      <w:r>
        <w:rPr>
          <w:rFonts w:ascii="方正黑体_GBK" w:eastAsia="方正黑体_GBK" w:hint="eastAsia"/>
          <w:color w:val="000000"/>
          <w:sz w:val="32"/>
          <w:szCs w:val="32"/>
        </w:rPr>
        <w:t>七、</w:t>
      </w:r>
      <w:r>
        <w:rPr>
          <w:rFonts w:ascii="方正黑体_GBK" w:eastAsia="方正黑体_GBK" w:hint="eastAsia"/>
          <w:b/>
          <w:bCs/>
          <w:sz w:val="32"/>
          <w:szCs w:val="32"/>
        </w:rPr>
        <w:t>“</w:t>
      </w:r>
      <w:r>
        <w:rPr>
          <w:rFonts w:ascii="方正黑体_GBK" w:eastAsia="方正黑体_GBK" w:hint="eastAsia"/>
          <w:bCs/>
          <w:sz w:val="32"/>
          <w:szCs w:val="32"/>
        </w:rPr>
        <w:t>三公”经费财政拨款支出决算情况说明</w:t>
      </w:r>
      <w:bookmarkEnd w:id="43"/>
      <w:bookmarkEnd w:id="44"/>
    </w:p>
    <w:p>
      <w:pPr>
        <w:spacing w:line="540" w:lineRule="exact"/>
        <w:ind w:firstLineChars="200" w:firstLine="640"/>
        <w:outlineLvl w:val="2"/>
        <w:rPr>
          <w:rFonts w:ascii="仿宋" w:eastAsia="仿宋" w:cs="仿宋"/>
          <w:b/>
          <w:color w:val="000000"/>
          <w:sz w:val="32"/>
          <w:szCs w:val="32"/>
        </w:rPr>
      </w:pPr>
      <w:bookmarkStart w:id="45" w:name="_Toc15377216"/>
      <w:r>
        <w:rPr>
          <w:rFonts w:ascii="仿宋" w:eastAsia="仿宋" w:cs="仿宋" w:hint="eastAsia"/>
          <w:b/>
          <w:color w:val="000000"/>
          <w:sz w:val="32"/>
          <w:szCs w:val="32"/>
        </w:rPr>
        <w:t>（一）“三公”经费财政拨款支出决算总体情况说明</w:t>
      </w:r>
      <w:bookmarkEnd w:id="45"/>
    </w:p>
    <w:p>
      <w:pPr>
        <w:spacing w:line="540" w:lineRule="exact"/>
        <w:ind w:firstLine="640"/>
        <w:rPr>
          <w:rFonts w:ascii="仿宋" w:eastAsia="仿宋" w:cs="仿宋"/>
          <w:b/>
          <w:color w:val="000000"/>
          <w:sz w:val="32"/>
          <w:szCs w:val="32"/>
        </w:rPr>
      </w:pPr>
      <w:r>
        <w:rPr>
          <w:rFonts w:ascii="仿宋" w:eastAsia="仿宋" w:cs="仿宋" w:hint="eastAsia"/>
          <w:color w:val="000000"/>
          <w:sz w:val="32"/>
          <w:szCs w:val="32"/>
        </w:rPr>
        <w:t>2019年“三公”经费财政拨款支出决算为50.63万元，完成预算100%，决算数与预算数持平。</w:t>
      </w:r>
    </w:p>
    <w:p>
      <w:pPr>
        <w:spacing w:line="540" w:lineRule="exact"/>
        <w:ind w:firstLineChars="200" w:firstLine="640"/>
        <w:outlineLvl w:val="2"/>
        <w:rPr>
          <w:rFonts w:ascii="仿宋" w:eastAsia="仿宋" w:cs="仿宋"/>
          <w:b/>
          <w:color w:val="000000"/>
          <w:sz w:val="32"/>
          <w:szCs w:val="32"/>
        </w:rPr>
      </w:pPr>
      <w:bookmarkStart w:id="46" w:name="_Toc15377217"/>
      <w:r>
        <w:rPr>
          <w:rFonts w:ascii="仿宋" w:eastAsia="仿宋" w:cs="仿宋" w:hint="eastAsia"/>
          <w:b/>
          <w:color w:val="000000"/>
          <w:sz w:val="32"/>
          <w:szCs w:val="32"/>
        </w:rPr>
        <w:t>（二）“三公”经费财政拨款支出决算具体情况说明</w:t>
      </w:r>
      <w:bookmarkEnd w:id="46"/>
    </w:p>
    <w:p>
      <w:pPr>
        <w:spacing w:line="540" w:lineRule="exact"/>
        <w:ind w:firstLine="640"/>
        <w:rPr>
          <w:rFonts w:ascii="仿宋" w:eastAsia="仿宋" w:cs="仿宋"/>
          <w:color w:val="000000"/>
          <w:sz w:val="32"/>
          <w:szCs w:val="32"/>
        </w:rPr>
      </w:pPr>
      <w:r>
        <w:rPr>
          <w:rFonts w:ascii="仿宋" w:eastAsia="仿宋" w:cs="仿宋" w:hint="eastAsia"/>
          <w:color w:val="000000"/>
          <w:sz w:val="32"/>
          <w:szCs w:val="32"/>
        </w:rPr>
        <w:t>2019年“三公”经费财政拨款支出决算中，因公出国（境）费支出决算0万元，占0%；公务用车购置及运行维护费支出决算0万元，占0%；公务接待费支出决算50.63万元，占100%。具体情况如下：</w:t>
      </w:r>
    </w:p>
    <w:p>
      <w:pPr>
        <w:spacing w:line="600" w:lineRule="exact"/>
        <w:ind w:firstLineChars="200" w:firstLine="640"/>
        <w:rPr>
          <w:rFonts w:ascii="仿宋" w:eastAsia="仿宋" w:cs="仿宋"/>
          <w:color w:val="000000"/>
          <w:sz w:val="32"/>
          <w:szCs w:val="32"/>
        </w:rPr>
      </w:pPr>
      <w:r>
        <w:rPr>
          <w:rFonts w:ascii="仿宋" w:eastAsia="仿宋" w:cs="仿宋" w:hint="eastAsia"/>
          <w:b/>
          <w:bCs/>
          <w:color w:val="000000"/>
          <w:sz w:val="32"/>
          <w:szCs w:val="32"/>
        </w:rPr>
        <w:t>1.因公出国（境）经费</w:t>
      </w:r>
      <w:r>
        <w:rPr>
          <w:rFonts w:ascii="仿宋" w:eastAsia="仿宋" w:cs="仿宋" w:hint="eastAsia"/>
          <w:color w:val="000000"/>
          <w:sz w:val="32"/>
          <w:szCs w:val="32"/>
        </w:rPr>
        <w:t>支出0万元，</w:t>
      </w:r>
      <w:r>
        <w:rPr>
          <w:rStyle w:val="22"/>
          <w:rFonts w:ascii="仿宋" w:eastAsia="仿宋" w:cs="仿宋" w:hint="eastAsia"/>
          <w:b w:val="0"/>
          <w:color w:val="000000"/>
          <w:sz w:val="32"/>
          <w:szCs w:val="32"/>
        </w:rPr>
        <w:t>完成预算100%</w:t>
      </w:r>
      <w:r>
        <w:rPr>
          <w:rStyle w:val="22"/>
          <w:rFonts w:ascii="仿宋" w:eastAsia="仿宋" w:cs="仿宋" w:hint="eastAsia"/>
          <w:bCs/>
          <w:color w:val="000000"/>
          <w:sz w:val="32"/>
          <w:szCs w:val="32"/>
        </w:rPr>
        <w:t>。</w:t>
      </w:r>
      <w:r>
        <w:rPr>
          <w:rFonts w:ascii="仿宋" w:eastAsia="仿宋" w:cs="仿宋" w:hint="eastAsia"/>
          <w:color w:val="000000"/>
          <w:sz w:val="32"/>
          <w:szCs w:val="32"/>
        </w:rPr>
        <w:t>全年安排因公出国（境）团组0次，出国（境）0人。</w:t>
      </w:r>
    </w:p>
    <w:p>
      <w:pPr>
        <w:spacing w:line="600" w:lineRule="exact"/>
        <w:ind w:firstLine="640"/>
        <w:rPr>
          <w:rFonts w:ascii="仿宋" w:eastAsia="仿宋" w:cs="仿宋"/>
          <w:b/>
          <w:color w:val="000000"/>
          <w:sz w:val="32"/>
          <w:szCs w:val="32"/>
        </w:rPr>
      </w:pPr>
      <w:r>
        <w:rPr>
          <w:rFonts w:ascii="仿宋" w:eastAsia="仿宋" w:cs="仿宋" w:hint="eastAsia"/>
          <w:b/>
          <w:bCs/>
          <w:color w:val="000000"/>
          <w:sz w:val="32"/>
          <w:szCs w:val="32"/>
        </w:rPr>
        <w:t>2.公务用车购置及运行维护费</w:t>
      </w:r>
      <w:r>
        <w:rPr>
          <w:rFonts w:ascii="仿宋" w:eastAsia="仿宋" w:cs="仿宋" w:hint="eastAsia"/>
          <w:color w:val="000000"/>
          <w:sz w:val="32"/>
          <w:szCs w:val="32"/>
        </w:rPr>
        <w:t>支出0万元,</w:t>
      </w:r>
      <w:r>
        <w:rPr>
          <w:rStyle w:val="22"/>
          <w:rFonts w:ascii="仿宋" w:eastAsia="仿宋" w:cs="仿宋" w:hint="eastAsia"/>
          <w:b w:val="0"/>
          <w:color w:val="000000"/>
          <w:sz w:val="32"/>
          <w:szCs w:val="32"/>
        </w:rPr>
        <w:t>完成预算100%。</w:t>
      </w:r>
      <w:r>
        <w:rPr>
          <w:rStyle w:val="22"/>
          <w:rFonts w:ascii="仿宋" w:eastAsia="仿宋" w:cs="仿宋" w:hint="eastAsia"/>
          <w:b w:val="0"/>
          <w:bCs/>
          <w:color w:val="000000"/>
          <w:sz w:val="32"/>
          <w:szCs w:val="32"/>
        </w:rPr>
        <w:t>年初无预算</w:t>
      </w:r>
      <w:r>
        <w:rPr>
          <w:rFonts w:ascii="仿宋" w:eastAsia="仿宋" w:cs="仿宋" w:hint="eastAsia"/>
          <w:color w:val="000000"/>
          <w:sz w:val="32"/>
          <w:szCs w:val="32"/>
        </w:rPr>
        <w:t>公务用车购置及运行维护费。</w:t>
      </w:r>
    </w:p>
    <w:p>
      <w:pPr>
        <w:spacing w:line="600" w:lineRule="exact"/>
        <w:ind w:firstLineChars="200" w:firstLine="640"/>
        <w:rPr>
          <w:rFonts w:ascii="仿宋" w:eastAsia="仿宋" w:cs="仿宋"/>
          <w:b/>
          <w:color w:val="000000"/>
          <w:sz w:val="32"/>
          <w:szCs w:val="32"/>
        </w:rPr>
      </w:pPr>
      <w:r>
        <w:rPr>
          <w:rFonts w:ascii="仿宋" w:eastAsia="仿宋" w:cs="仿宋" w:hint="eastAsia"/>
          <w:color w:val="000000"/>
          <w:sz w:val="32"/>
          <w:szCs w:val="32"/>
        </w:rPr>
        <w:t>其中：</w:t>
      </w:r>
      <w:r>
        <w:rPr>
          <w:rFonts w:ascii="仿宋" w:eastAsia="仿宋" w:cs="仿宋" w:hint="eastAsia"/>
          <w:b/>
          <w:color w:val="000000"/>
          <w:sz w:val="32"/>
          <w:szCs w:val="32"/>
        </w:rPr>
        <w:t>公务用车购置支出</w:t>
      </w:r>
      <w:r>
        <w:rPr>
          <w:rFonts w:ascii="仿宋" w:eastAsia="仿宋" w:cs="仿宋" w:hint="eastAsia"/>
          <w:color w:val="000000"/>
          <w:sz w:val="32"/>
          <w:szCs w:val="32"/>
        </w:rPr>
        <w:t>0万元。全年按规定更新购置公务用车0辆，其中：轿车0辆、金额0万元，越野车0辆、金额0万元，载客汽车0辆、金额0万元，截至2019年12月底，单位公务用车0辆。</w:t>
      </w:r>
    </w:p>
    <w:p>
      <w:pPr>
        <w:spacing w:line="578" w:lineRule="exact"/>
        <w:ind w:firstLineChars="200" w:firstLine="640"/>
        <w:rPr>
          <w:rFonts w:ascii="仿宋" w:eastAsia="仿宋" w:cs="仿宋"/>
          <w:b/>
          <w:bCs/>
          <w:color w:val="000000"/>
          <w:sz w:val="32"/>
          <w:szCs w:val="32"/>
        </w:rPr>
      </w:pPr>
      <w:r>
        <w:rPr>
          <w:rFonts w:ascii="仿宋" w:eastAsia="仿宋" w:cs="仿宋" w:hint="eastAsia"/>
          <w:b/>
          <w:color w:val="000000"/>
          <w:sz w:val="32"/>
          <w:szCs w:val="32"/>
        </w:rPr>
        <w:t>3.公务接待费支出</w:t>
      </w:r>
      <w:r>
        <w:rPr>
          <w:rFonts w:ascii="仿宋" w:eastAsia="仿宋" w:cs="仿宋" w:hint="eastAsia"/>
          <w:color w:val="000000"/>
          <w:sz w:val="32"/>
          <w:szCs w:val="32"/>
        </w:rPr>
        <w:t>50.63万元，</w:t>
      </w:r>
      <w:r>
        <w:rPr>
          <w:rStyle w:val="22"/>
          <w:rFonts w:ascii="仿宋" w:eastAsia="仿宋" w:cs="仿宋" w:hint="eastAsia"/>
          <w:b w:val="0"/>
          <w:bCs/>
          <w:color w:val="000000"/>
          <w:sz w:val="32"/>
          <w:szCs w:val="32"/>
        </w:rPr>
        <w:t>完成预算100%。</w:t>
      </w:r>
      <w:r>
        <w:rPr>
          <w:rFonts w:ascii="仿宋" w:eastAsia="仿宋" w:cs="仿宋" w:hint="eastAsia"/>
          <w:color w:val="000000"/>
          <w:sz w:val="32"/>
          <w:szCs w:val="32"/>
        </w:rPr>
        <w:t>公务接待费支出决算比2018年减少1.96万元，下降3.73%。主要原因是麻柳镇狠抓落实，对公务接待费用实行集体会签制，事前先由需接待部门的负责人、分管领导向主要领导请示，凡是接待一律在政府机关伙食团就餐，并严格控制接待标准和陪同人员，报销时必须同时有镇长和分管领导共同签字的公务接待就餐单、公函、及菜单，财政所才予以报销。</w:t>
      </w:r>
    </w:p>
    <w:p>
      <w:pPr>
        <w:spacing w:line="578" w:lineRule="exact"/>
        <w:ind w:firstLineChars="200" w:firstLine="640"/>
        <w:rPr>
          <w:rFonts w:ascii="仿宋" w:eastAsia="仿宋" w:cs="仿宋"/>
          <w:sz w:val="32"/>
          <w:szCs w:val="32"/>
        </w:rPr>
      </w:pPr>
      <w:r>
        <w:rPr>
          <w:rFonts w:ascii="仿宋" w:eastAsia="仿宋" w:cs="仿宋" w:hint="eastAsia"/>
          <w:sz w:val="32"/>
          <w:szCs w:val="32"/>
        </w:rPr>
        <w:t>主要用于执行公务、开展业务活动开支的交通费、住宿费、用餐费等。其中：外事接待费支出0万元。国内公务接待1078批次，9587人，共计支出50.63万元，具体开支内容包括：开展工作交流，迎检，</w:t>
      </w:r>
      <w:r>
        <w:rPr>
          <w:rFonts w:ascii="仿宋" w:eastAsia="仿宋" w:cs="仿宋" w:hint="eastAsia"/>
          <w:color w:val="000000"/>
          <w:sz w:val="32"/>
          <w:szCs w:val="32"/>
        </w:rPr>
        <w:t>脱贫攻坚巡查，</w:t>
      </w:r>
      <w:r>
        <w:rPr>
          <w:rFonts w:ascii="仿宋" w:eastAsia="仿宋" w:cs="仿宋" w:hint="eastAsia"/>
          <w:sz w:val="32"/>
          <w:szCs w:val="32"/>
        </w:rPr>
        <w:t>上级工作指导等方面工作。</w:t>
      </w:r>
    </w:p>
    <w:p>
      <w:pPr>
        <w:spacing w:line="600" w:lineRule="exact"/>
        <w:ind w:firstLine="640"/>
        <w:outlineLvl w:val="1"/>
        <w:rPr>
          <w:rFonts w:ascii="仿宋" w:eastAsia="仿宋" w:cs="仿宋"/>
          <w:color w:val="000000"/>
          <w:sz w:val="32"/>
          <w:szCs w:val="32"/>
        </w:rPr>
      </w:pPr>
      <w:r>
        <w:rPr>
          <w:rFonts w:ascii="仿宋" w:eastAsia="仿宋" w:cs="仿宋" w:hint="eastAsia"/>
          <w:color w:val="000000"/>
          <w:sz w:val="32"/>
          <w:szCs w:val="32"/>
        </w:rPr>
        <w:t>外事接待支出0元，外事接待0批次，0人，共计支出0万元。</w:t>
      </w:r>
    </w:p>
    <w:p>
      <w:pPr>
        <w:spacing w:line="578" w:lineRule="exact"/>
        <w:ind w:firstLineChars="200" w:firstLine="640"/>
        <w:rPr>
          <w:rFonts w:ascii="仿宋" w:eastAsia="仿宋" w:cs="仿宋"/>
          <w:sz w:val="32"/>
          <w:szCs w:val="32"/>
        </w:rPr>
      </w:pPr>
      <w:r>
        <w:rPr>
          <w:rFonts w:ascii="仿宋" w:eastAsia="仿宋" w:cs="仿宋" w:hint="eastAsia"/>
          <w:color w:val="000000"/>
          <w:sz w:val="32"/>
          <w:szCs w:val="32"/>
        </w:rPr>
        <w:t>其他国内公务接待支出0万元。</w:t>
      </w:r>
    </w:p>
    <w:p>
      <w:pPr>
        <w:spacing w:line="540" w:lineRule="exact"/>
        <w:ind w:firstLine="640"/>
        <w:outlineLvl w:val="1"/>
        <w:rPr>
          <w:rStyle w:val="2Char"/>
          <w:rFonts w:ascii="方正黑体_GBK" w:eastAsia="方正黑体_GBK"/>
          <w:color w:val="000000"/>
        </w:rPr>
      </w:pPr>
      <w:bookmarkStart w:id="47" w:name="_Toc15396610"/>
      <w:bookmarkStart w:id="48" w:name="_Toc15377218"/>
      <w:r>
        <w:rPr>
          <w:rFonts w:ascii="方正黑体_GBK" w:eastAsia="方正黑体_GBK" w:hint="eastAsia"/>
          <w:color w:val="000000"/>
          <w:sz w:val="32"/>
          <w:szCs w:val="32"/>
        </w:rPr>
        <w:t>八、</w:t>
      </w:r>
      <w:r>
        <w:rPr>
          <w:rStyle w:val="2Char"/>
          <w:rFonts w:ascii="方正黑体_GBK" w:eastAsia="方正黑体_GBK" w:hint="eastAsia"/>
          <w:b w:val="0"/>
          <w:color w:val="000000"/>
        </w:rPr>
        <w:t>政府性基金预算支出决算情况说明</w:t>
      </w:r>
      <w:bookmarkEnd w:id="47"/>
      <w:bookmarkEnd w:id="48"/>
    </w:p>
    <w:p>
      <w:pPr>
        <w:spacing w:line="540" w:lineRule="exact"/>
        <w:ind w:firstLine="640"/>
        <w:rPr>
          <w:rFonts w:ascii="仿宋" w:eastAsia="仿宋" w:cs="仿宋"/>
          <w:color w:val="000000"/>
          <w:sz w:val="32"/>
          <w:szCs w:val="32"/>
        </w:rPr>
      </w:pPr>
      <w:r>
        <w:rPr>
          <w:rFonts w:ascii="仿宋" w:eastAsia="仿宋" w:cs="仿宋" w:hint="eastAsia"/>
          <w:color w:val="000000"/>
          <w:sz w:val="32"/>
          <w:szCs w:val="32"/>
        </w:rPr>
        <w:t>2019年政府性基金预算拨款支出1125.55万元。</w:t>
      </w:r>
    </w:p>
    <w:p>
      <w:pPr>
        <w:spacing w:line="540" w:lineRule="exact"/>
        <w:ind w:firstLine="640"/>
        <w:outlineLvl w:val="1"/>
        <w:rPr>
          <w:rFonts w:ascii="方正黑体_GBK" w:eastAsia="方正黑体_GBK"/>
          <w:bCs/>
          <w:sz w:val="32"/>
          <w:szCs w:val="32"/>
        </w:rPr>
      </w:pPr>
      <w:bookmarkStart w:id="49" w:name="_Toc15377219"/>
      <w:bookmarkStart w:id="50" w:name="_Toc15396611"/>
      <w:r>
        <w:rPr>
          <w:rFonts w:ascii="方正黑体_GBK" w:eastAsia="方正黑体_GBK" w:hint="eastAsia"/>
          <w:bCs/>
          <w:sz w:val="32"/>
          <w:szCs w:val="32"/>
        </w:rPr>
        <w:t>九、国有资本经营预算支出决算情况说明</w:t>
      </w:r>
      <w:bookmarkEnd w:id="49"/>
      <w:bookmarkEnd w:id="50"/>
    </w:p>
    <w:p>
      <w:pPr>
        <w:spacing w:line="540" w:lineRule="exact"/>
        <w:ind w:firstLine="640"/>
        <w:rPr>
          <w:rFonts w:ascii="仿宋" w:eastAsia="仿宋" w:cs="仿宋"/>
          <w:color w:val="000000"/>
          <w:sz w:val="32"/>
          <w:szCs w:val="32"/>
        </w:rPr>
      </w:pPr>
      <w:r>
        <w:rPr>
          <w:rFonts w:ascii="仿宋" w:eastAsia="仿宋" w:cs="仿宋" w:hint="eastAsia"/>
          <w:color w:val="000000"/>
          <w:sz w:val="32"/>
          <w:szCs w:val="32"/>
        </w:rPr>
        <w:t>2019年国有资本经营预算拨款支出0万元。</w:t>
      </w:r>
    </w:p>
    <w:p>
      <w:pPr>
        <w:spacing w:line="540" w:lineRule="exact"/>
        <w:ind w:firstLine="640"/>
        <w:outlineLvl w:val="1"/>
        <w:rPr>
          <w:rFonts w:ascii="方正黑体_GBK" w:eastAsia="方正黑体_GBK"/>
          <w:b/>
          <w:bCs/>
          <w:sz w:val="32"/>
          <w:szCs w:val="32"/>
        </w:rPr>
      </w:pPr>
      <w:bookmarkStart w:id="51" w:name="_Toc15377221"/>
      <w:bookmarkStart w:id="52" w:name="_Toc15396612"/>
      <w:r>
        <w:rPr>
          <w:rFonts w:ascii="方正黑体_GBK" w:eastAsia="方正黑体_GBK" w:hint="eastAsia"/>
          <w:color w:val="000000"/>
          <w:sz w:val="32"/>
          <w:szCs w:val="32"/>
        </w:rPr>
        <w:t>十</w:t>
      </w:r>
      <w:r>
        <w:rPr>
          <w:rFonts w:ascii="方正黑体_GBK" w:eastAsia="方正黑体_GBK" w:hint="eastAsia"/>
          <w:b/>
          <w:bCs/>
          <w:sz w:val="32"/>
          <w:szCs w:val="32"/>
        </w:rPr>
        <w:t>、</w:t>
      </w:r>
      <w:r>
        <w:rPr>
          <w:rFonts w:ascii="方正黑体_GBK" w:eastAsia="方正黑体_GBK" w:hint="eastAsia"/>
          <w:bCs/>
          <w:sz w:val="32"/>
          <w:szCs w:val="32"/>
        </w:rPr>
        <w:t>其他重要事项的情况说明</w:t>
      </w:r>
      <w:bookmarkEnd w:id="51"/>
      <w:bookmarkEnd w:id="52"/>
    </w:p>
    <w:p>
      <w:pPr>
        <w:spacing w:line="540" w:lineRule="exact"/>
        <w:ind w:firstLineChars="200" w:firstLine="640"/>
        <w:outlineLvl w:val="2"/>
        <w:rPr>
          <w:rFonts w:ascii="方正楷体简体" w:eastAsia="方正楷体简体"/>
          <w:b/>
          <w:color w:val="000000"/>
          <w:sz w:val="32"/>
          <w:szCs w:val="32"/>
        </w:rPr>
      </w:pPr>
      <w:bookmarkStart w:id="53" w:name="_Toc15377222"/>
      <w:r>
        <w:rPr>
          <w:rFonts w:ascii="方正楷体简体" w:eastAsia="方正楷体简体" w:hint="eastAsia"/>
          <w:b/>
          <w:color w:val="000000"/>
          <w:sz w:val="32"/>
          <w:szCs w:val="32"/>
        </w:rPr>
        <w:t>（一）机关运行经费支出情况</w:t>
      </w:r>
      <w:bookmarkEnd w:id="53"/>
    </w:p>
    <w:p>
      <w:pPr>
        <w:spacing w:line="540" w:lineRule="exact"/>
        <w:ind w:firstLineChars="200" w:firstLine="640"/>
        <w:rPr>
          <w:rFonts w:ascii="仿宋" w:eastAsia="仿宋" w:cs="仿宋"/>
          <w:color w:val="000000"/>
          <w:sz w:val="32"/>
          <w:szCs w:val="32"/>
        </w:rPr>
      </w:pPr>
      <w:r>
        <w:rPr>
          <w:rFonts w:ascii="仿宋" w:eastAsia="仿宋" w:cs="仿宋" w:hint="eastAsia"/>
          <w:color w:val="000000"/>
          <w:sz w:val="32"/>
          <w:szCs w:val="32"/>
        </w:rPr>
        <w:t>2019年，麻柳镇机关运行经费支出764.64万元，比2018年增加324.03万元，增加73.54%。主要原因是区划调整人员增加，履行一般行政管理职能、维持机关日常运转增加。</w:t>
      </w:r>
    </w:p>
    <w:p>
      <w:pPr>
        <w:spacing w:line="540" w:lineRule="exact"/>
        <w:ind w:firstLineChars="200" w:firstLine="640"/>
        <w:outlineLvl w:val="2"/>
        <w:rPr>
          <w:rFonts w:ascii="方正楷体简体" w:eastAsia="方正楷体简体"/>
          <w:b/>
          <w:color w:val="000000"/>
          <w:sz w:val="32"/>
          <w:szCs w:val="32"/>
        </w:rPr>
      </w:pPr>
      <w:bookmarkStart w:id="54" w:name="_Toc15377223"/>
      <w:r>
        <w:rPr>
          <w:rFonts w:ascii="方正楷体简体" w:eastAsia="方正楷体简体"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9年，麻柳镇政府采购无采购。</w:t>
      </w:r>
    </w:p>
    <w:p>
      <w:pPr>
        <w:spacing w:line="540" w:lineRule="exact"/>
        <w:ind w:firstLineChars="200" w:firstLine="640"/>
        <w:outlineLvl w:val="2"/>
        <w:rPr>
          <w:rFonts w:ascii="方正楷体简体" w:eastAsia="方正楷体简体"/>
          <w:b/>
          <w:color w:val="000000"/>
          <w:sz w:val="32"/>
          <w:szCs w:val="32"/>
        </w:rPr>
      </w:pPr>
      <w:bookmarkStart w:id="55" w:name="_Toc15377224"/>
      <w:r>
        <w:rPr>
          <w:rFonts w:ascii="方正楷体简体" w:eastAsia="方正楷体简体" w:hint="eastAsia"/>
          <w:b/>
          <w:color w:val="000000"/>
          <w:sz w:val="32"/>
          <w:szCs w:val="32"/>
        </w:rPr>
        <w:t>（三）国有资产占有使用情况</w:t>
      </w:r>
      <w:bookmarkEnd w:id="55"/>
    </w:p>
    <w:p>
      <w:pPr>
        <w:spacing w:line="578" w:lineRule="exact"/>
        <w:ind w:firstLineChars="200" w:firstLine="640"/>
        <w:rPr>
          <w:rFonts w:eastAsia="方正仿宋_GBK"/>
          <w:b/>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麻柳镇共有车辆6辆，其中：部级领导干部用车0辆、一般公务用车0辆、一般执法执勤用车0辆、特种专业技术用车0辆、其他用车6辆，其他用车主要是用于场镇垃圾清理用车，但本单位未使用，故未产生公务车运行维护费。无单价</w:t>
      </w:r>
      <w:r>
        <w:rPr>
          <w:rFonts w:ascii="仿宋_GB2312" w:eastAsia="仿宋_GB2312"/>
          <w:color w:val="000000"/>
          <w:sz w:val="32"/>
          <w:szCs w:val="32"/>
        </w:rPr>
        <w:t>50</w:t>
      </w:r>
      <w:r>
        <w:rPr>
          <w:rFonts w:ascii="仿宋_GB2312" w:eastAsia="仿宋_GB2312" w:hint="eastAsia"/>
          <w:color w:val="000000"/>
          <w:sz w:val="32"/>
          <w:szCs w:val="32"/>
        </w:rPr>
        <w:t>万元以上通用设备，无单价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p>
    <w:p>
      <w:pPr>
        <w:spacing w:line="540" w:lineRule="exact"/>
        <w:ind w:firstLineChars="200" w:firstLine="640"/>
        <w:outlineLvl w:val="2"/>
        <w:rPr>
          <w:rFonts w:ascii="方正楷体简体" w:eastAsia="方正楷体简体"/>
          <w:b/>
          <w:color w:val="000000"/>
          <w:sz w:val="32"/>
          <w:szCs w:val="32"/>
        </w:rPr>
      </w:pPr>
      <w:r>
        <w:rPr>
          <w:rFonts w:ascii="方正楷体简体" w:eastAsia="方正楷体简体" w:hint="eastAsia"/>
          <w:b/>
          <w:color w:val="000000"/>
          <w:sz w:val="32"/>
          <w:szCs w:val="32"/>
        </w:rPr>
        <w:t>（四）预算绩效管理情况</w:t>
      </w:r>
    </w:p>
    <w:p>
      <w:pPr>
        <w:numPr>
          <w:ilvl w:val="0"/>
          <w:numId w:val="1"/>
        </w:numPr>
        <w:spacing w:line="580" w:lineRule="exact"/>
        <w:ind w:left="0" w:firstLineChars="200" w:firstLine="640"/>
        <w:rPr>
          <w:rFonts w:ascii="仿宋" w:eastAsia="仿宋" w:cs="楷体_GB2312"/>
          <w:b/>
          <w:bCs/>
          <w:sz w:val="32"/>
          <w:szCs w:val="32"/>
        </w:rPr>
      </w:pPr>
      <w:r>
        <w:rPr>
          <w:rFonts w:ascii="仿宋" w:eastAsia="仿宋" w:cs="楷体_GB2312" w:hint="eastAsia"/>
          <w:b/>
          <w:bCs/>
          <w:sz w:val="32"/>
          <w:szCs w:val="32"/>
        </w:rPr>
        <w:t>预算绩效管理工作开展情况。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单位）在年初预算编制阶段，组织对预算项目开展了预算事前绩效评估，对4个项目编制了绩效目标，预算执行过程中，选取4个项目开展绩效监控，年终执行完毕后，对4个项目开展了绩效目标完成情况梳理填报。</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2019年部门整体支出开展绩效自评，从评价情况来看自评结果得分100分，但也存在一些问题：一是项目进度缓慢，归档不及时。二是对项目工程及时跟进，确保项目工程完成，下一步改进措施：一是加快项目进度，二是及时对项目资料进行归档。</w:t>
      </w:r>
    </w:p>
    <w:p>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财力保障环境综合治理项目绩效目标完成情况综述。项目全年预算数171.94万元，执行数171.94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创造一个美丽和谐的环境。</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5"/>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项目支出绩效目标完成情况表（1）</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麻柳镇2019年度财力保障环境综合治理项目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达州市达川区麻柳镇人民政府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171.94万元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171.94万元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171.94万元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171.94万元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推进环保节能治理，建立健全农村生活垃圾处理长效机制，深入开展环境污染和面源污染治理。</w:t>
              <w:tab/>
              <w:tab/>
              <w:tab/>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保洁工作、环境治理宣传活动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落实社区保洁员87名，各村保洁员1名、宣传标语不低于92幅，会议每月一次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已完成落实社区保洁员87名，各村保洁员1名、宣传标语不低于92幅，会议每月一次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卫生保洁、垃圾清运、车辆停放</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做到场镇和村主要交通路干净，无污水，无垃圾。天天有人清扫做到垃圾日清，及时将垃圾运往佳境环保做无害化处理。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已完成做到场镇和村主要交通路干净，无污水，无垃圾。天天有人清扫做到垃圾日清，及时将垃圾运往佳境环保做无害化处理。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垃圾处置费用、保洁员工资、垃圾清运车费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投资环境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为外来投资商创建一个干净、整治的投资环境，提升麻柳招商引资能力。</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环境卫生整治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改善人居环境，提升群众幸福生活指数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改善了群众的人居环境，提升了幸福生活 指数。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垃圾日清，迅速处置</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做到了垃圾日清，垃圾池周清。</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促进了全镇环境整治的发展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社会满意度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财力保障项促进发展项目绩效目标完成情况综述。项目全年预算数79.00万元，执行数为79.00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5"/>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项目支出绩效目标完成情况表（3）</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90"/>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麻柳镇2019年度财力保障促发展项目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达州市达川区麻柳镇人民政府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79.00万元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79.00万元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79.00万元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79.00万元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864"/>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加大村级基础设施建设投入，改善农村基础设施状况，修建水利、道路，增强农村经济发展实力</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82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解决6529余人出行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已完成涉及7348人的出行问题</w:t>
            </w:r>
          </w:p>
        </w:tc>
      </w:tr>
      <w:tr>
        <w:trPr>
          <w:trHeight w:val="110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工程标准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严格按照工程标准执行，以监理单位验收质量为准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材料采购、人工费用、其他费用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严格预算，最后以审计价为准、以当地人工费用标准为准、严格预算，最后以审计价为准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严格预算，最后以审计价为准、以当地人工费用标准为准、严格预算，最后以审计价为准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为经济发展提供基础</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方便群众出行，农产品物资运输更加方便快捷，提升物流速度，为社会提供安全便捷的运输条件。</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方便群众出行，农产品物资运输更加方便快捷，提升物流速度，为社会提供安全便捷的运输条件。</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道路建设规划合理，不能以牺牲环保为代价。</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将持续提供经济发展动力</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left="640"/>
        <w:rPr>
          <w:rFonts w:ascii="仿宋_GB2312" w:eastAsia="仿宋_GB2312" w:cs="仿宋_GB2312"/>
          <w:sz w:val="32"/>
          <w:szCs w:val="32"/>
        </w:rPr>
      </w:pPr>
    </w:p>
    <w:p>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3、财力保障项安全生产监管项目绩效目标完成情况综述。项目全年预算数23.60万元，执行数为23.60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5"/>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项目支出绩效目标完成情况表（4）</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财力保障-保运行-安全生产监管经费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达州市达川区麻柳镇人民政府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23.60万元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23.60万元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23.60万元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23.60万元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学习宣传教育活动、开展打非治违和专项整治、专项排查，重点领域整治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72次以上、36次以上、每月1次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已完成排查72次以上、已完成宣传教育活动36次以上、对重点领域每月1次排查。</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责任落实、加大宣传、狠抓整治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已完成责任体系、每月召开一次安全专项会议、每月排查一次安全隐患，对隐患进行定人定责定时整改</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差旅费标准、会议培训会标准、宣传费用标准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安全零事故，为经济保驾护航</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以安全生产为主要目标，防范各类事故发生，减少各类经济成本，确保经济稳步发展。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完成安全生产为主要目标，防范各类事故发生，减少各类经济成本，确保经济稳步发展。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有效防范和遏制各项事故发生</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为企业、群众提供一个安全的生产生活环境，保障人民群众生活财产安全</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不得破坏生态和损害环境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长期保障工作平稳进行展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5、财力保障信访、维稳、扫黄、除黑、禁毒资金项目绩效目标完成情况综述。项目全年预算数40.00万元，执行数为40.00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5"/>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项目支出绩效目标完成情况表（5）</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麻柳镇2019年度信访、维稳、扫黄、除黑、禁毒资金项目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达州市达川区麻柳镇人民政府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40.00万元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40.00万元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40.00万元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40.00万元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解决群众合理诉求，，打击黄、赌、毒，扫清黑恶势力，为人民群众塑造一个安定、和谐、稳定的社会环境</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开展教育宣传活动、组织专项行动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72次、18次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已完成全年开展了宣传活动72次，组织专项行动18次。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合理诉求、扫黑除恶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及时处理，上报，将矛盾化解在萌芽状态。及时上报线索，配合民警开展工作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差旅费标准、会议培训会标准、会议培训会标准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经济投资环境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营造良好社会风气</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14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已保障工作平稳进行</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 w:eastAsia="仿宋" w:cs="仿宋_GB2312"/>
          <w:sz w:val="32"/>
          <w:szCs w:val="32"/>
        </w:rPr>
      </w:pPr>
      <w:r>
        <w:rPr>
          <w:rFonts w:ascii="仿宋" w:eastAsia="仿宋" w:cs="楷体_GB2312" w:hint="eastAsia"/>
          <w:b/>
          <w:bCs/>
          <w:sz w:val="32"/>
          <w:szCs w:val="32"/>
        </w:rPr>
        <w:t>（三）部门开展绩效评价结果。</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本部门按要求对2019年部门整体支出绩效评价情况开展自评，《达州市达川区麻柳镇部门2019年部门整体支出绩效评价报告》见附件。</w:t>
      </w:r>
    </w:p>
    <w:p>
      <w:pPr>
        <w:spacing w:line="600" w:lineRule="exact"/>
        <w:ind w:firstLineChars="250" w:firstLine="800"/>
        <w:outlineLvl w:val="1"/>
        <w:rPr>
          <w:rFonts w:ascii="黑体" w:eastAsia="黑体"/>
          <w:color w:val="000000"/>
          <w:sz w:val="32"/>
          <w:szCs w:val="32"/>
        </w:rPr>
      </w:pPr>
      <w:r>
        <w:rPr>
          <w:rFonts w:ascii="仿宋_GB2312" w:eastAsia="仿宋_GB2312" w:cs="仿宋_GB2312" w:hint="eastAsia"/>
          <w:sz w:val="32"/>
          <w:szCs w:val="32"/>
        </w:rPr>
        <w:t>本部门自行组织对财力保障项目开展了绩效评价，《达州市达川区麻柳镇2019年项目绩效评价报告》见附件。</w:t>
      </w:r>
    </w:p>
    <w:p>
      <w:pPr>
        <w:spacing w:line="600" w:lineRule="exact"/>
        <w:jc w:val="center"/>
        <w:outlineLvl w:val="0"/>
        <w:rPr>
          <w:rFonts w:ascii="黑体" w:eastAsia="黑体"/>
          <w:b/>
          <w:color w:val="000000"/>
          <w:sz w:val="44"/>
          <w:szCs w:val="44"/>
        </w:rPr>
      </w:pPr>
    </w:p>
    <w:p>
      <w:pPr>
        <w:spacing w:line="600" w:lineRule="exact"/>
        <w:jc w:val="center"/>
        <w:outlineLvl w:val="0"/>
        <w:rPr>
          <w:rFonts w:ascii="黑体" w:eastAsia="黑体"/>
          <w:b/>
          <w:color w:val="000000"/>
          <w:sz w:val="44"/>
          <w:szCs w:val="44"/>
        </w:rPr>
      </w:pPr>
    </w:p>
    <w:p>
      <w:pPr>
        <w:spacing w:line="600" w:lineRule="exact"/>
        <w:jc w:val="center"/>
        <w:outlineLvl w:val="0"/>
        <w:rPr>
          <w:rFonts w:ascii="黑体" w:eastAsia="黑体"/>
          <w:b/>
          <w:color w:val="000000"/>
          <w:sz w:val="44"/>
          <w:szCs w:val="44"/>
        </w:rPr>
      </w:pPr>
    </w:p>
    <w:p>
      <w:pPr>
        <w:spacing w:line="600" w:lineRule="exact"/>
        <w:jc w:val="center"/>
        <w:outlineLvl w:val="0"/>
        <w:rPr>
          <w:rFonts w:ascii="黑体" w:eastAsia="黑体"/>
          <w:b/>
          <w:color w:val="000000"/>
          <w:sz w:val="44"/>
          <w:szCs w:val="44"/>
        </w:rPr>
      </w:pPr>
    </w:p>
    <w:p>
      <w:pPr>
        <w:spacing w:line="600" w:lineRule="exact"/>
        <w:jc w:val="center"/>
        <w:outlineLvl w:val="0"/>
        <w:rPr>
          <w:rFonts w:ascii="黑体" w:eastAsia="黑体"/>
          <w:b/>
          <w:color w:val="000000"/>
          <w:sz w:val="44"/>
          <w:szCs w:val="44"/>
        </w:rPr>
      </w:pPr>
    </w:p>
    <w:p>
      <w:pPr>
        <w:spacing w:line="600" w:lineRule="exact"/>
        <w:jc w:val="center"/>
        <w:outlineLvl w:val="0"/>
        <w:rPr>
          <w:rFonts w:ascii="宋体"/>
          <w:b/>
          <w:color w:val="000000"/>
          <w:sz w:val="44"/>
          <w:szCs w:val="44"/>
        </w:rPr>
      </w:pPr>
      <w:r>
        <w:rPr>
          <w:rFonts w:ascii="黑体" w:eastAsia="黑体" w:hint="eastAsia"/>
          <w:b/>
          <w:color w:val="000000"/>
          <w:sz w:val="44"/>
          <w:szCs w:val="44"/>
        </w:rPr>
        <w:t>第三部分名</w:t>
      </w:r>
      <w:r>
        <w:rPr>
          <w:rStyle w:val="1Char"/>
          <w:rFonts w:ascii="黑体" w:eastAsia="黑体" w:hint="eastAsia"/>
          <w:b w:val="0"/>
        </w:rPr>
        <w:t>词解释</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1、财政拨款收入：指区级财政当年拨付的资金。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2、一般公共服务（类）政府办公厅（室）及相关机构事务（款）行政运行（项）：反映行政单位（包括实行公务员管理的事业单位）的基本支出。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 一般公共服务支出（类）政府办公厅（室）及相关机构事务（款）一般行政管理事务（项）：反应行政单位行政管理事物方面的支出。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4、一般公共服务（类）财政事务（款）行政运行（项）：反映财政方面的支出。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5、一般公共服务支出（类）纪检监察事务（款）其他纪检监察事务支出（项）：反应本单位纪检监察相关事物支出。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6、文化体育与传媒支出（类）文化（款）群众文化（项）：反映群众文化方面的支出，包括基层文化馆（站）、群众艺术馆支出等。</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7、文化体育与传媒支出（类）新闻出版广播影视（款）广播（项）：反映广播系统职工工资及影视方面的支出。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8、社会保障和就业支出（类）行政事业单位离退休（款）  机关事业单位基本养老保险缴费支出★（项）：反映机关事业单位基本养老保险缴费。</w:t>
      </w:r>
    </w:p>
    <w:p>
      <w:pPr>
        <w:spacing w:line="600" w:lineRule="exact"/>
        <w:ind w:firstLineChars="200" w:firstLine="640"/>
        <w:rPr>
          <w:rStyle w:val="22"/>
          <w:rFonts w:ascii="仿宋" w:eastAsia="仿宋"/>
          <w:b w:val="0"/>
          <w:bCs/>
          <w:color w:val="000000"/>
          <w:sz w:val="32"/>
          <w:szCs w:val="32"/>
        </w:rPr>
      </w:pPr>
      <w:r>
        <w:rPr>
          <w:rFonts w:ascii="仿宋_GB2312" w:eastAsia="仿宋_GB2312" w:hint="eastAsia"/>
          <w:sz w:val="32"/>
          <w:szCs w:val="32"/>
        </w:rPr>
        <w:t>9、社会保障和就业支出（类）行政事业单位离退休（款）机关事业单位职业年金缴费支出★（项）：反应机关事业</w:t>
      </w:r>
      <w:r>
        <w:rPr>
          <w:rStyle w:val="22"/>
          <w:rFonts w:ascii="仿宋" w:eastAsia="仿宋" w:hint="eastAsia"/>
          <w:b w:val="0"/>
          <w:bCs/>
          <w:color w:val="000000"/>
          <w:sz w:val="32"/>
          <w:szCs w:val="32"/>
        </w:rPr>
        <w:t>单位职业年金单位部分缴费情况。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10社会保障和就业支出（类）抚恤（款）死亡抚恤（项）反应机关事业单位职工死亡抚恤金安葬费等情况。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11、社会保障和就业支出（类）抚恤（款）在乡复员、退伍军人生活补助（项）：反映复员、退伍军人领取的生活补助等方面的支出。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12、社会保障和就业支出（类）残疾人事业（款）其他残疾人事业支出（项）：主要反应残疾人专职委员相关工资福利费开支。</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13、社会保障和就业支出（类）抚恤（款）义务兵优待（项）：反映义务兵优待方面的支出。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14、社会保障和就业支出（类）特困人员救助供养★（款）农村特困人员救助供养支出★（项）：反映用于城乡五保人员的生活补助支出。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15、医疗卫生与计划生育支出（类）计划生育事务（款）计划生育机构（项）：反映卫生和计划生育部门所属计划生育机构的支出。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16、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17、医疗卫生与计划生育支出（类）行政事业单位医疗（款）事业单位医疗（项）：反映财政部门集中安排的事业单位的公费医疗经费，按国家规定享受离休人员待遇的医疗经费。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18、医疗卫生与计划生育支出（类）行政事业单位医疗（款）公务员医疗补助★（项）：主要反映本单位公务员医疗补助缴费的情况。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19、医疗卫生与计划生育支出（类）计划生育事务（款）其他计划生育事物支出（项）：反应计划生育机构事业单位部门等发生的支出。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20、城乡社区支出（类）城乡社区环境卫生（款）  城乡社区环境卫生（项）：主要反映本单位辖区城乡社区环境整治等费用支出。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21、城乡社区支出（类）国有土地使用权出让收入及对应专项债务收入安排的支出（款）其他国有土地使用权出让收入安排的支出（项）：反映一事一议等安排与社区建设发展的其他支出。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22、城乡社区支出（类）其他城乡社区支出（款）其他城乡社区支出（项）：反应城乡社区其他方面支出。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23、农林水支出（类）农业（款）事业运行（项）：反映用于农业事业单位基本支出，事业单位设施、系统运行与资产维护等方面的支出。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24、农林水支出（类）农业（款）农村道路建设（项）：反映对农村道路建设的补助支出。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25、农林水支出（类）扶贫（款）其他扶贫支出（项）：反映用于农村脱贫攻坚中的支出。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26、农林水支出（类）农业综合开发（款）产业化经营（项）：支出决算为10万元，主要反映农村产业发展的补助支出。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27、农林水支出（类）农村综合改革（款）对村级一事一议的补助（项）：反映农村对村级一事一议财政奖补情况的支出。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28、农林水支出（类）农村综合改革（款）对村民委员会和村支部的补助（项）：反映各级财政对村民委员会和村党支部的补助支出。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29、住房保障支出（类）住房改革支出（款）  住房公积金（项）：反映用于本乡职工住房公积金缴存等支出。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30、其他支出（类）彩票公益金及对应专项债务收入安排的支出（款）用于体育事业的彩票公益金支出（项）：反映用于本乡维修维护支出。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31、结余分配：指事业单位按规定提取的职工福利基金、事业基金和缴纳的所得税，以及建设单位按规定应交回的基本建设竣工项目结余资金。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32、年末结转和结余：指本年度或以前年度预算安排、因客观条件发生变化无法按原计划实施，需延迟到以后年度按有关规定继续使用的资金。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33、基本支出：指为保障机构正常运转、完成日常工作任务而发生的人员支出和公用支出。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34、项目支出：指在基本支出之外为完成特定行政任务和事业发展目标所发生的支出。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35、经营支出：指事业单位在专业业务活动及其辅助活动之外开展非独立核算经营活动发生的支出。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36、“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eastAsia="黑体"/>
          <w:color w:val="000000"/>
          <w:sz w:val="44"/>
          <w:szCs w:val="44"/>
        </w:rPr>
      </w:pPr>
      <w:bookmarkStart w:id="56" w:name="_Toc15377226"/>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Style w:val="1Char"/>
        </w:rPr>
      </w:pPr>
      <w:r>
        <w:rPr>
          <w:rFonts w:ascii="黑体" w:eastAsia="黑体" w:hint="eastAsia"/>
          <w:color w:val="000000"/>
          <w:sz w:val="44"/>
          <w:szCs w:val="44"/>
        </w:rPr>
        <w:t>第</w:t>
      </w:r>
      <w:r>
        <w:rPr>
          <w:rStyle w:val="1Char"/>
          <w:rFonts w:ascii="黑体" w:eastAsia="黑体" w:hint="eastAsia"/>
          <w:b w:val="0"/>
        </w:rPr>
        <w:t>四部分 附件</w:t>
      </w:r>
    </w:p>
    <w:p>
      <w:pPr>
        <w:pStyle w:val="2"/>
        <w:rPr>
          <w:rStyle w:val="1Char"/>
          <w:rFonts w:ascii="仿宋" w:eastAsia="仿宋"/>
          <w:b w:val="0"/>
          <w:bCs w:val="0"/>
          <w:sz w:val="32"/>
          <w:szCs w:val="32"/>
        </w:rPr>
      </w:pPr>
      <w:bookmarkStart w:id="57" w:name="_Toc15396615"/>
      <w:r>
        <w:rPr>
          <w:rStyle w:val="1Char"/>
          <w:rFonts w:ascii="仿宋" w:eastAsia="仿宋" w:hint="eastAsia"/>
          <w:b w:val="0"/>
          <w:bCs w:val="0"/>
          <w:sz w:val="32"/>
          <w:szCs w:val="32"/>
        </w:rPr>
        <w:t>附件1</w:t>
      </w:r>
      <w:bookmarkEnd w:id="57"/>
    </w:p>
    <w:p>
      <w:pPr>
        <w:spacing w:line="600" w:lineRule="exact"/>
        <w:jc w:val="center"/>
        <w:outlineLvl w:val="0"/>
        <w:rPr>
          <w:rFonts w:ascii="黑体" w:eastAsia="黑体" w:cs="方正小标宋简体"/>
          <w:sz w:val="36"/>
          <w:szCs w:val="36"/>
        </w:rPr>
      </w:pPr>
      <w:bookmarkStart w:id="58" w:name="_Toc15396616"/>
      <w:r>
        <w:rPr>
          <w:rFonts w:ascii="黑体" w:eastAsia="黑体" w:cs="方正小标宋简体" w:hint="eastAsia"/>
          <w:sz w:val="36"/>
          <w:szCs w:val="36"/>
        </w:rPr>
        <w:t>达州市达川区麻柳镇</w:t>
      </w:r>
    </w:p>
    <w:p>
      <w:pPr>
        <w:spacing w:line="600" w:lineRule="exact"/>
        <w:jc w:val="center"/>
        <w:outlineLvl w:val="0"/>
        <w:rPr>
          <w:rFonts w:ascii="黑体" w:eastAsia="黑体" w:cs="方正小标宋简体"/>
          <w:sz w:val="36"/>
          <w:szCs w:val="36"/>
        </w:rPr>
      </w:pPr>
      <w:r>
        <w:rPr>
          <w:rFonts w:ascii="黑体" w:eastAsia="黑体" w:cs="方正小标宋简体" w:hint="eastAsia"/>
          <w:sz w:val="36"/>
          <w:szCs w:val="36"/>
        </w:rPr>
        <w:t>2019年部门整体支出绩效评价报告</w:t>
      </w:r>
      <w:bookmarkEnd w:id="58"/>
    </w:p>
    <w:p>
      <w:pPr>
        <w:spacing w:line="580" w:lineRule="exact"/>
        <w:ind w:firstLineChars="200" w:firstLine="640"/>
        <w:rPr>
          <w:rFonts w:ascii="黑体" w:eastAsia="黑体" w:cs="黑体"/>
          <w:sz w:val="32"/>
          <w:szCs w:val="32"/>
        </w:rPr>
      </w:pPr>
    </w:p>
    <w:p>
      <w:pPr>
        <w:spacing w:line="580" w:lineRule="exact"/>
        <w:ind w:firstLineChars="200" w:firstLine="640"/>
        <w:rPr>
          <w:rFonts w:ascii="黑体" w:eastAsia="黑体" w:cs="黑体"/>
          <w:sz w:val="32"/>
          <w:szCs w:val="32"/>
        </w:rPr>
      </w:pPr>
      <w:r>
        <w:rPr>
          <w:rFonts w:ascii="黑体" w:eastAsia="黑体" w:cs="黑体" w:hint="eastAsia"/>
          <w:sz w:val="32"/>
          <w:szCs w:val="32"/>
        </w:rPr>
        <w:t>一、部门（单位）概况</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麻柳镇政府位于达川区东南部，距主城区42公里，幅员面积205.9平方公里，辖31个行政村及9个街道社区，总人口11.26万余人，系达川区两个经济副中心之一。</w:t>
      </w:r>
    </w:p>
    <w:p>
      <w:pPr>
        <w:spacing w:line="580" w:lineRule="exact"/>
        <w:ind w:firstLineChars="200" w:firstLine="640"/>
        <w:rPr>
          <w:rFonts w:ascii="仿宋" w:eastAsia="仿宋" w:cs="仿宋_GB2312"/>
          <w:sz w:val="32"/>
          <w:szCs w:val="32"/>
        </w:rPr>
      </w:pPr>
      <w:r>
        <w:rPr>
          <w:rFonts w:ascii="仿宋" w:eastAsia="仿宋" w:cs="仿宋_GB2312"/>
          <w:sz w:val="32"/>
          <w:szCs w:val="32"/>
        </w:rPr>
        <w:t>（一）机构组成。</w:t>
      </w:r>
    </w:p>
    <w:p>
      <w:pPr>
        <w:pStyle w:val="15"/>
        <w:adjustRightInd w:val="0"/>
        <w:snapToGrid w:val="0"/>
        <w:spacing w:beforeLines="0" w:before="93" w:line="578" w:lineRule="exact"/>
        <w:ind w:firstLineChars="209" w:firstLine="672"/>
        <w:rPr>
          <w:rFonts w:ascii="仿宋" w:eastAsia="仿宋" w:cs="仿宋_GB2312"/>
          <w:sz w:val="32"/>
          <w:szCs w:val="32"/>
        </w:rPr>
      </w:pPr>
      <w:r>
        <w:rPr>
          <w:rFonts w:hint="eastAsia"/>
          <w:sz w:val="32"/>
          <w:szCs w:val="32"/>
        </w:rPr>
        <w:t>麻柳镇下属二级单位4个，其中行政单位1个，其他事业单位3个。</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机构职能。</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麻柳镇人民政府主要职责、职能：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麻柳镇经济发展、改善人民生活、保持农村社会稳定、偿还镇、村两级债务、搞好场镇建设和加快新农村基础设施建设工作。</w:t>
      </w:r>
    </w:p>
    <w:p>
      <w:pPr>
        <w:spacing w:line="580" w:lineRule="exact"/>
        <w:ind w:leftChars="200" w:left="420"/>
        <w:rPr>
          <w:rFonts w:ascii="仿宋" w:eastAsia="仿宋" w:cs="仿宋_GB2312"/>
          <w:sz w:val="32"/>
          <w:szCs w:val="32"/>
        </w:rPr>
      </w:pPr>
      <w:r>
        <w:rPr>
          <w:rFonts w:ascii="仿宋" w:eastAsia="仿宋" w:cs="仿宋_GB2312" w:hint="eastAsia"/>
          <w:sz w:val="32"/>
          <w:szCs w:val="32"/>
        </w:rPr>
        <w:t>（三）</w:t>
      </w:r>
      <w:r>
        <w:rPr>
          <w:rFonts w:ascii="仿宋" w:eastAsia="仿宋" w:cs="仿宋_GB2312"/>
          <w:sz w:val="32"/>
          <w:szCs w:val="32"/>
        </w:rPr>
        <w:t>人员概况。</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麻柳镇编制人数185人，其中行政编制108人，事业编制77人；2019年末实有人数173人，其中公共预算财政拨款人数104人，公共预算财政补助开支人数69人。</w:t>
      </w:r>
    </w:p>
    <w:p>
      <w:pPr>
        <w:spacing w:line="580" w:lineRule="exact"/>
        <w:ind w:firstLineChars="200" w:firstLine="640"/>
        <w:rPr>
          <w:rFonts w:ascii="黑体" w:eastAsia="黑体" w:cs="黑体"/>
          <w:sz w:val="32"/>
          <w:szCs w:val="32"/>
        </w:rPr>
      </w:pPr>
      <w:r>
        <w:rPr>
          <w:rFonts w:ascii="黑体" w:eastAsia="黑体" w:cs="黑体"/>
          <w:sz w:val="32"/>
          <w:szCs w:val="32"/>
        </w:rPr>
        <w:t>二、部门财政资金收支情况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（一）部门财政资金收入情况。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2019年本年收入合计8747.34万元，其中：一般公共预算财政拨款收入7621.79万元，占87.13%；政府性基金预算财政拨款收入1125.55万元，占12.87%；国有资本经营预算财政拨款收入0万元，占0%；事业收入0万元，占0%；经营收入0万元，占0%；附属单位上缴收入0万元，占0%；其他收入0万元，占0%。</w:t>
      </w:r>
    </w:p>
    <w:p>
      <w:pPr>
        <w:numPr>
          <w:ilvl w:val="0"/>
          <w:numId w:val="1"/>
        </w:numPr>
        <w:spacing w:line="580" w:lineRule="exact"/>
        <w:ind w:left="0" w:firstLineChars="200" w:firstLine="640"/>
        <w:rPr>
          <w:rFonts w:ascii="仿宋" w:eastAsia="仿宋" w:cs="仿宋_GB2312"/>
          <w:sz w:val="32"/>
          <w:szCs w:val="32"/>
        </w:rPr>
      </w:pPr>
      <w:r>
        <w:rPr>
          <w:rFonts w:ascii="仿宋" w:eastAsia="仿宋" w:cs="仿宋_GB2312"/>
          <w:sz w:val="32"/>
          <w:szCs w:val="32"/>
        </w:rPr>
        <w:t>部门财政资金支出情况。</w:t>
      </w:r>
    </w:p>
    <w:p>
      <w:pPr>
        <w:spacing w:line="600" w:lineRule="exact"/>
        <w:ind w:firstLine="640"/>
        <w:rPr>
          <w:rFonts w:ascii="仿宋" w:eastAsia="仿宋" w:cs="仿宋_GB2312"/>
          <w:sz w:val="32"/>
          <w:szCs w:val="32"/>
        </w:rPr>
      </w:pPr>
      <w:r>
        <w:rPr>
          <w:rFonts w:ascii="仿宋" w:eastAsia="仿宋"/>
          <w:color w:val="000000"/>
          <w:sz w:val="32"/>
          <w:szCs w:val="32"/>
        </w:rPr>
        <w:t>20</w:t>
      </w:r>
      <w:r>
        <w:rPr>
          <w:rFonts w:ascii="仿宋" w:eastAsia="仿宋" w:hint="eastAsia"/>
          <w:color w:val="000000"/>
          <w:sz w:val="32"/>
          <w:szCs w:val="32"/>
        </w:rPr>
        <w:t>19年本年支出合计8747.34万元，其中：基本支出5780.22万元，占66.08</w:t>
      </w:r>
      <w:r>
        <w:rPr>
          <w:rFonts w:ascii="仿宋" w:eastAsia="仿宋"/>
          <w:color w:val="000000"/>
          <w:sz w:val="32"/>
          <w:szCs w:val="32"/>
        </w:rPr>
        <w:t>%</w:t>
      </w:r>
      <w:r>
        <w:rPr>
          <w:rFonts w:ascii="仿宋" w:eastAsia="仿宋" w:hint="eastAsia"/>
          <w:color w:val="000000"/>
          <w:sz w:val="32"/>
          <w:szCs w:val="32"/>
        </w:rPr>
        <w:t>；项目支出2967.13万元，占33.92</w:t>
      </w:r>
      <w:r>
        <w:rPr>
          <w:rFonts w:ascii="仿宋" w:eastAsia="仿宋"/>
          <w:color w:val="000000"/>
          <w:sz w:val="32"/>
          <w:szCs w:val="32"/>
        </w:rPr>
        <w:t>%</w:t>
      </w:r>
      <w:r>
        <w:rPr>
          <w:rFonts w:ascii="仿宋" w:eastAsia="仿宋" w:hint="eastAsia"/>
          <w:color w:val="000000"/>
          <w:sz w:val="32"/>
          <w:szCs w:val="32"/>
        </w:rPr>
        <w:t>；上缴上级支出0万元，占0</w:t>
      </w:r>
      <w:r>
        <w:rPr>
          <w:rFonts w:ascii="仿宋" w:eastAsia="仿宋"/>
          <w:color w:val="000000"/>
          <w:sz w:val="32"/>
          <w:szCs w:val="32"/>
        </w:rPr>
        <w:t>%</w:t>
      </w:r>
      <w:r>
        <w:rPr>
          <w:rFonts w:ascii="仿宋" w:eastAsia="仿宋" w:hint="eastAsia"/>
          <w:color w:val="000000"/>
          <w:sz w:val="32"/>
          <w:szCs w:val="32"/>
        </w:rPr>
        <w:t>；经营支出0万元，占0</w:t>
      </w:r>
      <w:r>
        <w:rPr>
          <w:rFonts w:ascii="仿宋" w:eastAsia="仿宋"/>
          <w:color w:val="000000"/>
          <w:sz w:val="32"/>
          <w:szCs w:val="32"/>
        </w:rPr>
        <w:t>%</w:t>
      </w:r>
      <w:r>
        <w:rPr>
          <w:rFonts w:ascii="仿宋" w:eastAsia="仿宋" w:hint="eastAsia"/>
          <w:color w:val="000000"/>
          <w:sz w:val="32"/>
          <w:szCs w:val="32"/>
        </w:rPr>
        <w:t>；对附属单位补助支出0万元，占0</w:t>
      </w:r>
      <w:r>
        <w:rPr>
          <w:rFonts w:ascii="仿宋" w:eastAsia="仿宋"/>
          <w:color w:val="000000"/>
          <w:sz w:val="32"/>
          <w:szCs w:val="32"/>
        </w:rPr>
        <w:t>%</w:t>
      </w:r>
      <w:r>
        <w:rPr>
          <w:rFonts w:ascii="仿宋" w:eastAsia="仿宋" w:hint="eastAsia"/>
          <w:color w:val="000000"/>
          <w:sz w:val="32"/>
          <w:szCs w:val="32"/>
        </w:rPr>
        <w:t>。</w:t>
      </w:r>
    </w:p>
    <w:p>
      <w:pPr>
        <w:numPr>
          <w:ilvl w:val="0"/>
          <w:numId w:val="2"/>
        </w:numPr>
        <w:spacing w:line="580" w:lineRule="exact"/>
        <w:ind w:left="0" w:firstLineChars="200" w:firstLine="640"/>
        <w:rPr>
          <w:rFonts w:ascii="黑体" w:eastAsia="黑体" w:cs="黑体"/>
          <w:sz w:val="32"/>
          <w:szCs w:val="32"/>
        </w:rPr>
      </w:pPr>
      <w:r>
        <w:rPr>
          <w:rFonts w:ascii="黑体" w:eastAsia="黑体" w:cs="黑体"/>
          <w:sz w:val="32"/>
          <w:szCs w:val="32"/>
        </w:rPr>
        <w:t>部门整体预算绩效管理情况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（二）专项预算管理。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（三）结果应用情况。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包括部门自评质量、绩效目标公开和自评公开、评价结果整改和应用结果反馈等情况。</w:t>
      </w:r>
    </w:p>
    <w:p>
      <w:pPr>
        <w:spacing w:line="580" w:lineRule="exact"/>
        <w:ind w:firstLineChars="200" w:firstLine="640"/>
        <w:rPr>
          <w:rFonts w:ascii="黑体" w:eastAsia="黑体" w:cs="黑体"/>
          <w:sz w:val="32"/>
          <w:szCs w:val="32"/>
        </w:rPr>
      </w:pPr>
      <w:r>
        <w:rPr>
          <w:rFonts w:ascii="黑体" w:eastAsia="黑体" w:cs="黑体"/>
          <w:sz w:val="32"/>
          <w:szCs w:val="32"/>
        </w:rPr>
        <w:t>四、评价结论及建议</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总体看，我单位预算编制及执行决算较为准确，支出管理较为规范，财务管理制度较完善，部门整体绩效较好。部门支出绩效自评得分为100分。</w:t>
      </w:r>
    </w:p>
    <w:p>
      <w:pPr>
        <w:numPr>
          <w:ilvl w:val="0"/>
          <w:numId w:val="3"/>
        </w:numPr>
        <w:spacing w:line="580" w:lineRule="exact"/>
        <w:ind w:left="0" w:firstLineChars="200" w:firstLine="640"/>
        <w:rPr>
          <w:rFonts w:ascii="仿宋" w:eastAsia="仿宋" w:cs="仿宋_GB2312"/>
          <w:sz w:val="32"/>
          <w:szCs w:val="32"/>
        </w:rPr>
      </w:pPr>
      <w:r>
        <w:rPr>
          <w:rFonts w:ascii="仿宋" w:eastAsia="仿宋" w:cs="仿宋_GB2312"/>
          <w:sz w:val="32"/>
          <w:szCs w:val="32"/>
        </w:rPr>
        <w:t>存在问题。</w:t>
      </w:r>
    </w:p>
    <w:p>
      <w:pPr>
        <w:spacing w:line="578" w:lineRule="exact"/>
        <w:ind w:firstLineChars="200" w:firstLine="640"/>
        <w:rPr>
          <w:rFonts w:ascii="仿宋" w:eastAsia="仿宋" w:cs="仿宋"/>
          <w:sz w:val="32"/>
          <w:szCs w:val="32"/>
        </w:rPr>
      </w:pPr>
      <w:r>
        <w:rPr>
          <w:rFonts w:ascii="仿宋" w:eastAsia="仿宋" w:cs="仿宋" w:hint="eastAsia"/>
          <w:sz w:val="32"/>
          <w:szCs w:val="32"/>
        </w:rPr>
        <w:t>1、政府采购方面。政府采购方面存在等的思想，不能及时与上级沟通。</w:t>
      </w:r>
    </w:p>
    <w:p>
      <w:pPr>
        <w:spacing w:line="578" w:lineRule="exact"/>
        <w:ind w:firstLineChars="200" w:firstLine="640"/>
        <w:rPr>
          <w:rFonts w:ascii="仿宋" w:eastAsia="仿宋" w:cs="仿宋"/>
          <w:sz w:val="32"/>
          <w:szCs w:val="32"/>
        </w:rPr>
      </w:pPr>
      <w:r>
        <w:rPr>
          <w:rFonts w:ascii="仿宋" w:eastAsia="仿宋" w:cs="仿宋" w:hint="eastAsia"/>
          <w:sz w:val="32"/>
          <w:szCs w:val="32"/>
        </w:rPr>
        <w:t>2、资产管理方面。在平时工作中对资产管理的知识学习不够，经验不足。</w:t>
      </w:r>
    </w:p>
    <w:p>
      <w:pPr>
        <w:spacing w:line="578" w:lineRule="exact"/>
        <w:ind w:firstLineChars="200" w:firstLine="640"/>
        <w:rPr>
          <w:rFonts w:ascii="仿宋" w:eastAsia="仿宋" w:cs="仿宋"/>
          <w:sz w:val="32"/>
          <w:szCs w:val="32"/>
        </w:rPr>
      </w:pPr>
      <w:r>
        <w:rPr>
          <w:rFonts w:ascii="仿宋" w:eastAsia="仿宋" w:cs="仿宋" w:hint="eastAsia"/>
          <w:sz w:val="32"/>
          <w:szCs w:val="32"/>
        </w:rPr>
        <w:t>3、财务管理及会计核算方面。在工学矛盾处理不够好，就导致做账不够及时。</w:t>
      </w:r>
    </w:p>
    <w:p>
      <w:pPr>
        <w:spacing w:line="578" w:lineRule="exact"/>
        <w:ind w:firstLineChars="200" w:firstLine="640"/>
        <w:rPr>
          <w:rFonts w:ascii="仿宋" w:eastAsia="仿宋" w:cs="仿宋"/>
          <w:sz w:val="32"/>
          <w:szCs w:val="32"/>
        </w:rPr>
      </w:pPr>
      <w:r>
        <w:rPr>
          <w:rFonts w:ascii="仿宋" w:eastAsia="仿宋" w:cs="仿宋" w:hint="eastAsia"/>
          <w:sz w:val="32"/>
          <w:szCs w:val="32"/>
        </w:rPr>
        <w:t>4、人员管理方面。在平时工作中对人员管理还不是很严格，存在时紧时松的现象。</w:t>
      </w:r>
    </w:p>
    <w:p>
      <w:pPr>
        <w:spacing w:line="580" w:lineRule="exact"/>
        <w:ind w:firstLineChars="200" w:firstLine="640"/>
        <w:rPr>
          <w:rFonts w:ascii="仿宋" w:eastAsia="仿宋" w:cs="仿宋_GB2312"/>
          <w:sz w:val="32"/>
          <w:szCs w:val="32"/>
        </w:rPr>
      </w:pPr>
      <w:r>
        <w:rPr>
          <w:rFonts w:ascii="仿宋" w:eastAsia="仿宋" w:cs="仿宋_GB2312"/>
          <w:sz w:val="32"/>
          <w:szCs w:val="32"/>
        </w:rPr>
        <w:t>（三）改进建议。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1、提高预算编制质量。严格按照年初的预算编制，落实好资金的分配，及时报送相关资料。</w:t>
      </w:r>
    </w:p>
    <w:p>
      <w:pPr>
        <w:spacing w:line="578" w:lineRule="exact"/>
        <w:ind w:firstLineChars="200" w:firstLine="640"/>
        <w:rPr>
          <w:rFonts w:ascii="仿宋" w:eastAsia="仿宋" w:cs="仿宋"/>
          <w:sz w:val="32"/>
          <w:szCs w:val="32"/>
        </w:rPr>
      </w:pPr>
      <w:r>
        <w:rPr>
          <w:rFonts w:ascii="仿宋" w:eastAsia="仿宋" w:cs="仿宋" w:hint="eastAsia"/>
          <w:sz w:val="32"/>
          <w:szCs w:val="32"/>
        </w:rPr>
        <w:t>2、严格执行政府采购。严格按照行政采购计划，采购程序进行采购。</w:t>
      </w:r>
    </w:p>
    <w:p>
      <w:pPr>
        <w:spacing w:line="578" w:lineRule="exact"/>
        <w:ind w:firstLineChars="200" w:firstLine="640"/>
        <w:rPr>
          <w:rFonts w:ascii="仿宋" w:eastAsia="仿宋" w:cs="仿宋"/>
          <w:sz w:val="32"/>
          <w:szCs w:val="32"/>
        </w:rPr>
      </w:pPr>
      <w:r>
        <w:rPr>
          <w:rFonts w:ascii="仿宋" w:eastAsia="仿宋" w:cs="仿宋" w:hint="eastAsia"/>
          <w:sz w:val="32"/>
          <w:szCs w:val="32"/>
        </w:rPr>
        <w:t>3、加强资产管理。加强资产管理的知识学习，严格遵守资产管理制度进行管理，并制定专人负责管理。</w:t>
      </w:r>
    </w:p>
    <w:p>
      <w:pPr>
        <w:spacing w:line="578" w:lineRule="exact"/>
        <w:ind w:firstLineChars="200" w:firstLine="640"/>
        <w:rPr>
          <w:rFonts w:ascii="仿宋" w:eastAsia="仿宋" w:cs="仿宋"/>
          <w:sz w:val="32"/>
          <w:szCs w:val="32"/>
        </w:rPr>
      </w:pPr>
      <w:r>
        <w:rPr>
          <w:rFonts w:ascii="仿宋" w:eastAsia="仿宋" w:cs="仿宋" w:hint="eastAsia"/>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Chars="200" w:firstLine="640"/>
        <w:rPr>
          <w:rFonts w:ascii="仿宋" w:eastAsia="仿宋" w:cs="仿宋"/>
          <w:sz w:val="32"/>
          <w:szCs w:val="32"/>
        </w:rPr>
      </w:pPr>
      <w:r>
        <w:rPr>
          <w:rFonts w:ascii="仿宋" w:eastAsia="仿宋" w:cs="仿宋" w:hint="eastAsia"/>
          <w:sz w:val="32"/>
          <w:szCs w:val="32"/>
        </w:rPr>
        <w:t>5、人员管理。严格加强人员管理，坚持上下班制度，不迟到早退，遵守人员管理制度。</w:t>
      </w:r>
    </w:p>
    <w:p>
      <w:pPr>
        <w:spacing w:line="580" w:lineRule="exact"/>
        <w:rPr>
          <w:rFonts w:ascii="仿宋_GB2312" w:eastAsia="仿宋_GB2312" w:cs="仿宋_GB2312"/>
          <w:sz w:val="32"/>
          <w:szCs w:val="32"/>
        </w:rPr>
      </w:pPr>
    </w:p>
    <w:p>
      <w:pPr>
        <w:pStyle w:val="2"/>
        <w:rPr>
          <w:rStyle w:val="1Char"/>
          <w:rFonts w:ascii="仿宋" w:eastAsia="仿宋"/>
          <w:b w:val="0"/>
          <w:bCs w:val="0"/>
          <w:sz w:val="32"/>
          <w:szCs w:val="32"/>
        </w:rPr>
      </w:pPr>
      <w:r>
        <w:rPr>
          <w:rFonts w:ascii="仿宋_GB2312" w:eastAsia="仿宋_GB2312" w:cs="仿宋_GB2312"/>
        </w:rPr>
        <w:br w:type="page"/>
      </w:r>
      <w:r>
        <w:rPr>
          <w:rStyle w:val="1Char"/>
          <w:rFonts w:ascii="仿宋" w:eastAsia="仿宋" w:hint="eastAsia"/>
          <w:b w:val="0"/>
          <w:bCs w:val="0"/>
          <w:sz w:val="32"/>
          <w:szCs w:val="32"/>
        </w:rPr>
        <w:t>附件2</w:t>
      </w:r>
    </w:p>
    <w:p>
      <w:pPr>
        <w:spacing w:line="580" w:lineRule="exact"/>
        <w:jc w:val="center"/>
        <w:rPr>
          <w:rFonts w:ascii="黑体" w:eastAsia="黑体" w:cs="方正小标宋简体"/>
          <w:sz w:val="44"/>
          <w:szCs w:val="44"/>
        </w:rPr>
      </w:pPr>
      <w:r>
        <w:rPr>
          <w:rFonts w:ascii="黑体" w:eastAsia="黑体" w:cs="方正小标宋简体" w:hint="eastAsia"/>
          <w:sz w:val="44"/>
          <w:szCs w:val="44"/>
        </w:rPr>
        <w:t>达州市达川区麻柳镇</w:t>
      </w:r>
    </w:p>
    <w:p>
      <w:pPr>
        <w:spacing w:line="580" w:lineRule="exact"/>
        <w:jc w:val="center"/>
        <w:rPr>
          <w:rFonts w:ascii="黑体" w:eastAsia="黑体" w:cs="方正小标宋简体"/>
          <w:sz w:val="44"/>
          <w:szCs w:val="44"/>
        </w:rPr>
      </w:pPr>
      <w:r>
        <w:rPr>
          <w:rFonts w:ascii="黑体" w:eastAsia="黑体" w:cs="方正小标宋简体" w:hint="eastAsia"/>
          <w:sz w:val="44"/>
          <w:szCs w:val="44"/>
        </w:rPr>
        <w:t>2019年项目支出绩效评价报告</w:t>
      </w:r>
    </w:p>
    <w:p>
      <w:pPr>
        <w:spacing w:line="580" w:lineRule="exact"/>
        <w:jc w:val="center"/>
        <w:rPr>
          <w:rFonts w:ascii="黑体" w:eastAsia="黑体" w:cs="方正小标宋简体"/>
          <w:sz w:val="44"/>
          <w:szCs w:val="44"/>
        </w:rPr>
      </w:pP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、评价工作开展及项目情况</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达川区麻柳镇2019年项目资金706万元，其中：保运行资金499.91万元，用于政府日常工作正常运转；促发展资金79万元；解困资金11.59万元，解决麻柳镇的一些困难户的救济；信访维稳资金40万元，用于全镇安全、信访、维稳；脱贫攻坚资金29.5万元，用于脱贫工作；化债资金46万元，用于化解债务。</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、评价结论及绩效分析</w:t>
      </w:r>
    </w:p>
    <w:p>
      <w:pPr>
        <w:spacing w:line="580" w:lineRule="exact"/>
        <w:ind w:firstLineChars="200" w:firstLine="640"/>
        <w:rPr>
          <w:rFonts w:ascii="楷体" w:eastAsia="楷体" w:cs="楷体"/>
          <w:sz w:val="32"/>
          <w:szCs w:val="32"/>
        </w:rPr>
      </w:pPr>
      <w:bookmarkStart w:id="59" w:name="_Toc15396618"/>
      <w:r>
        <w:rPr>
          <w:rFonts w:ascii="楷体" w:eastAsia="楷体" w:cs="楷体" w:hint="eastAsia"/>
          <w:sz w:val="32"/>
          <w:szCs w:val="32"/>
        </w:rPr>
        <w:t>（二）专项预算管理。</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包括专项预算项目程序严密、规划合理、结果符合、分配科学、分配及时、专项预算绩效目标完成、实施绩效、违规记录等情况。</w:t>
      </w:r>
    </w:p>
    <w:p>
      <w:pPr>
        <w:spacing w:line="580" w:lineRule="exact"/>
        <w:ind w:firstLineChars="200" w:firstLine="640"/>
        <w:rPr>
          <w:rFonts w:ascii="楷体" w:eastAsia="楷体" w:cs="楷体"/>
          <w:sz w:val="32"/>
          <w:szCs w:val="32"/>
        </w:rPr>
      </w:pPr>
      <w:r>
        <w:rPr>
          <w:rFonts w:ascii="楷体" w:eastAsia="楷体" w:cs="楷体" w:hint="eastAsia"/>
          <w:sz w:val="32"/>
          <w:szCs w:val="32"/>
        </w:rPr>
        <w:t>（三）结果应用情况。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包括部门自评质量、绩效目标公开和自评公开、评价结果整改和应用结果反馈等情况。</w:t>
      </w:r>
    </w:p>
    <w:p>
      <w:pPr>
        <w:spacing w:line="580" w:lineRule="exact"/>
        <w:ind w:firstLineChars="200" w:firstLine="640"/>
        <w:rPr>
          <w:rFonts w:ascii="黑体" w:eastAsia="黑体" w:cs="黑体"/>
          <w:sz w:val="32"/>
          <w:szCs w:val="32"/>
        </w:rPr>
      </w:pPr>
      <w:r>
        <w:rPr>
          <w:rFonts w:ascii="黑体" w:eastAsia="黑体" w:cs="黑体" w:hint="eastAsia"/>
          <w:sz w:val="32"/>
          <w:szCs w:val="32"/>
        </w:rPr>
        <w:t>三、</w:t>
      </w:r>
      <w:r>
        <w:rPr>
          <w:rFonts w:ascii="黑体" w:eastAsia="黑体" w:cs="黑体"/>
          <w:sz w:val="32"/>
          <w:szCs w:val="32"/>
        </w:rPr>
        <w:t>部门整体预算绩效管理情况</w:t>
      </w:r>
    </w:p>
    <w:p>
      <w:pPr>
        <w:spacing w:line="580" w:lineRule="exact"/>
        <w:ind w:left="640"/>
        <w:rPr>
          <w:rFonts w:ascii="楷体" w:eastAsia="楷体" w:cs="楷体"/>
          <w:sz w:val="32"/>
          <w:szCs w:val="32"/>
        </w:rPr>
      </w:pPr>
      <w:r>
        <w:rPr>
          <w:rFonts w:ascii="楷体" w:eastAsia="楷体" w:cs="楷体" w:hint="eastAsia"/>
          <w:sz w:val="32"/>
          <w:szCs w:val="32"/>
        </w:rPr>
        <w:t>（一）部门预算管理。</w:t>
      </w:r>
    </w:p>
    <w:p>
      <w:pPr>
        <w:spacing w:line="580" w:lineRule="exact"/>
        <w:ind w:firstLineChars="200" w:firstLine="640"/>
        <w:rPr>
          <w:rFonts w:ascii="仿宋" w:eastAsia="仿宋" w:cs="仿宋_GB2312"/>
          <w:sz w:val="32"/>
          <w:szCs w:val="32"/>
        </w:rPr>
      </w:pPr>
      <w:r>
        <w:rPr>
          <w:rFonts w:ascii="仿宋_GB2312" w:eastAsia="仿宋_GB2312" w:cs="仿宋_GB2312" w:hint="eastAsia"/>
          <w:sz w:val="32"/>
          <w:szCs w:val="32"/>
        </w:rPr>
        <w:t>包括部门绩效目标制定、目标完成、预算编制准确、支出控制、预算动态调整、执行进度、预算完成情况和违规记录等情况。</w:t>
      </w:r>
    </w:p>
    <w:p>
      <w:pPr>
        <w:spacing w:line="580" w:lineRule="exact"/>
        <w:ind w:firstLineChars="200" w:firstLine="640"/>
        <w:rPr>
          <w:rFonts w:ascii="楷体" w:eastAsia="楷体" w:cs="楷体"/>
          <w:sz w:val="32"/>
          <w:szCs w:val="32"/>
        </w:rPr>
      </w:pPr>
      <w:r>
        <w:rPr>
          <w:rFonts w:ascii="楷体" w:eastAsia="楷体" w:cs="楷体" w:hint="eastAsia"/>
          <w:sz w:val="32"/>
          <w:szCs w:val="32"/>
        </w:rPr>
        <w:t>（二）专项预算管理。</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包括专项预算项目程序严密、规划合理、结果符合、分配科学、分配及时、专项预算绩效目标完成、实施绩效、违规记录等情况。</w:t>
      </w:r>
    </w:p>
    <w:p>
      <w:pPr>
        <w:spacing w:line="580" w:lineRule="exact"/>
        <w:ind w:firstLineChars="200" w:firstLine="640"/>
        <w:rPr>
          <w:rFonts w:ascii="楷体" w:eastAsia="楷体" w:cs="楷体"/>
          <w:sz w:val="32"/>
          <w:szCs w:val="32"/>
        </w:rPr>
      </w:pPr>
      <w:r>
        <w:rPr>
          <w:rFonts w:ascii="楷体" w:eastAsia="楷体" w:cs="楷体" w:hint="eastAsia"/>
          <w:sz w:val="32"/>
          <w:szCs w:val="32"/>
        </w:rPr>
        <w:t>（三）结果应用情况。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包括部门自评质量、绩效目标公开和自评公开、评价结果整改和应用结果反馈等情况。</w:t>
      </w:r>
    </w:p>
    <w:p>
      <w:pPr>
        <w:spacing w:line="580" w:lineRule="exact"/>
        <w:ind w:firstLineChars="200" w:firstLine="640"/>
        <w:rPr>
          <w:rFonts w:ascii="黑体" w:eastAsia="黑体" w:cs="黑体"/>
          <w:sz w:val="32"/>
          <w:szCs w:val="32"/>
        </w:rPr>
      </w:pPr>
      <w:r>
        <w:rPr>
          <w:rFonts w:ascii="黑体" w:eastAsia="黑体" w:cs="黑体"/>
          <w:sz w:val="32"/>
          <w:szCs w:val="32"/>
        </w:rPr>
        <w:t>四、评价结论及建议</w:t>
      </w:r>
    </w:p>
    <w:p>
      <w:pPr>
        <w:spacing w:line="580" w:lineRule="exact"/>
        <w:ind w:firstLineChars="200" w:firstLine="640"/>
        <w:rPr>
          <w:rFonts w:ascii="楷体" w:eastAsia="楷体" w:cs="楷体"/>
          <w:sz w:val="32"/>
          <w:szCs w:val="32"/>
        </w:rPr>
      </w:pPr>
      <w:r>
        <w:rPr>
          <w:rFonts w:ascii="楷体" w:eastAsia="楷体" w:cs="楷体" w:hint="eastAsia"/>
          <w:sz w:val="32"/>
          <w:szCs w:val="32"/>
        </w:rPr>
        <w:t>（一）评价结论。</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总体看，我单位预算编制及执行决算较为准确，支出管理较为规范，财务管理制度较完善，部门整体绩效较好。部门支出绩效自评得分为100分。</w:t>
      </w:r>
    </w:p>
    <w:p>
      <w:pPr>
        <w:spacing w:line="580" w:lineRule="exact"/>
        <w:ind w:firstLineChars="200" w:firstLine="640"/>
        <w:rPr>
          <w:rFonts w:ascii="楷体" w:eastAsia="楷体" w:cs="楷体"/>
          <w:sz w:val="32"/>
          <w:szCs w:val="32"/>
        </w:rPr>
      </w:pPr>
      <w:r>
        <w:rPr>
          <w:rFonts w:ascii="楷体" w:eastAsia="楷体" w:cs="楷体" w:hint="eastAsia"/>
          <w:sz w:val="32"/>
          <w:szCs w:val="32"/>
        </w:rPr>
        <w:t>（二）存在问题。</w:t>
      </w:r>
    </w:p>
    <w:p>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1、政府采购方面。政府采购方面存在等的思想，不能及时与上级沟通。</w:t>
      </w:r>
    </w:p>
    <w:p>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2、资产管理方面。在平时工作中对资产管理的知识学习不够，经验不足。</w:t>
      </w:r>
    </w:p>
    <w:p>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3、财务管理及会计核算方面。在工学矛盾处理不够好，就导致做账不够及时。</w:t>
      </w:r>
    </w:p>
    <w:p>
      <w:pPr>
        <w:spacing w:line="578" w:lineRule="exact"/>
        <w:ind w:firstLineChars="200" w:firstLine="640"/>
        <w:rPr>
          <w:rFonts w:ascii="仿宋" w:eastAsia="仿宋" w:cs="仿宋"/>
          <w:sz w:val="32"/>
          <w:szCs w:val="32"/>
        </w:rPr>
      </w:pPr>
      <w:r>
        <w:rPr>
          <w:rFonts w:ascii="仿宋_GB2312" w:eastAsia="仿宋_GB2312" w:cs="仿宋_GB2312" w:hint="eastAsia"/>
          <w:sz w:val="32"/>
          <w:szCs w:val="32"/>
        </w:rPr>
        <w:t>4、人员管理方面。在平时工作中对人员管理还不是很严格，存在时紧时松的现象。</w:t>
      </w:r>
    </w:p>
    <w:p>
      <w:pPr>
        <w:spacing w:line="580" w:lineRule="exact"/>
        <w:ind w:firstLineChars="200" w:firstLine="640"/>
        <w:rPr>
          <w:rFonts w:ascii="楷体" w:eastAsia="楷体" w:cs="楷体"/>
          <w:sz w:val="32"/>
          <w:szCs w:val="32"/>
        </w:rPr>
      </w:pPr>
      <w:r>
        <w:rPr>
          <w:rFonts w:ascii="楷体" w:eastAsia="楷体" w:cs="楷体" w:hint="eastAsia"/>
          <w:sz w:val="32"/>
          <w:szCs w:val="32"/>
        </w:rPr>
        <w:t>（三）改进建议。</w:t>
      </w:r>
    </w:p>
    <w:p>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1、提高预算编制质量。严格按照年初的预算编制，落实好资金的分配，及时报送相关资料。</w:t>
      </w:r>
    </w:p>
    <w:p>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2、严格执行政府采购。严格按照行政采购计划，采购程序进行采购。</w:t>
      </w:r>
    </w:p>
    <w:p>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3、加强资产管理。加强资产管理的知识学习，严格遵守资产管理制度进行管理，并制定专人负责管理。</w:t>
      </w:r>
    </w:p>
    <w:p>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5、人员管理。严格加强人员管理，坚持上下班制度，不迟到早退，遵守人员管理制度。</w:t>
      </w:r>
    </w:p>
    <w:p>
      <w:pPr>
        <w:spacing w:line="578" w:lineRule="exact"/>
        <w:ind w:firstLineChars="200" w:firstLine="640"/>
        <w:rPr>
          <w:rFonts w:ascii="仿宋_GB2312" w:eastAsia="仿宋_GB2312" w:cs="仿宋_GB2312"/>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Fonts w:ascii="方正黑体_GBK" w:eastAsia="方正黑体_GBK"/>
          <w:color w:val="000000"/>
          <w:sz w:val="32"/>
          <w:szCs w:val="32"/>
        </w:rPr>
      </w:pPr>
    </w:p>
    <w:p>
      <w:pPr>
        <w:spacing w:line="560" w:lineRule="exact"/>
        <w:jc w:val="center"/>
        <w:outlineLvl w:val="0"/>
        <w:rPr>
          <w:rStyle w:val="1Char"/>
          <w:rFonts w:ascii="方正黑体_GBK" w:eastAsia="方正黑体_GBK"/>
          <w:b w:val="0"/>
          <w:sz w:val="32"/>
          <w:szCs w:val="32"/>
        </w:rPr>
      </w:pPr>
      <w:r>
        <w:rPr>
          <w:rFonts w:ascii="方正黑体_GBK" w:eastAsia="方正黑体_GBK" w:hint="eastAsia"/>
          <w:color w:val="000000"/>
          <w:sz w:val="32"/>
          <w:szCs w:val="32"/>
        </w:rPr>
        <w:t>第</w:t>
      </w:r>
      <w:r>
        <w:rPr>
          <w:rStyle w:val="1Char"/>
          <w:rFonts w:ascii="方正黑体_GBK" w:eastAsia="方正黑体_GBK" w:hint="eastAsia"/>
          <w:b w:val="0"/>
          <w:sz w:val="32"/>
          <w:szCs w:val="32"/>
        </w:rPr>
        <w:t>五部分　附表</w:t>
      </w:r>
      <w:bookmarkEnd w:id="56"/>
      <w:bookmarkEnd w:id="59"/>
    </w:p>
    <w:p>
      <w:pPr>
        <w:spacing w:line="560" w:lineRule="exact"/>
        <w:jc w:val="center"/>
        <w:outlineLvl w:val="0"/>
        <w:rPr>
          <w:rFonts w:eastAsia="方正仿宋_GBK"/>
          <w:b/>
          <w:color w:val="000000"/>
          <w:sz w:val="32"/>
          <w:szCs w:val="32"/>
        </w:rPr>
      </w:pPr>
    </w:p>
    <w:p>
      <w:pPr>
        <w:pStyle w:val="2"/>
        <w:spacing w:before="0" w:after="0" w:line="560" w:lineRule="exact"/>
        <w:ind w:firstLineChars="200" w:firstLine="640"/>
        <w:rPr>
          <w:rFonts w:ascii="Times New Roman" w:eastAsia="方正仿宋_GBK" w:hAnsi="Times New Roman"/>
          <w:color w:val="000000"/>
        </w:rPr>
      </w:pPr>
      <w:bookmarkStart w:id="60" w:name="_Toc15396619"/>
      <w:r>
        <w:rPr>
          <w:rFonts w:ascii="Times New Roman" w:eastAsia="方正仿宋_GBK" w:hAnsi="Times New Roman" w:hint="eastAsia"/>
          <w:b w:val="0"/>
          <w:color w:val="000000"/>
        </w:rPr>
        <w:t>一、收</w:t>
      </w:r>
      <w:r>
        <w:rPr>
          <w:rStyle w:val="2Char"/>
          <w:rFonts w:ascii="Times New Roman" w:eastAsia="方正仿宋_GBK" w:hAnsi="Times New Roman" w:hint="eastAsia"/>
          <w:b w:val="0"/>
          <w:bCs w:val="0"/>
        </w:rPr>
        <w:t>入支出决算总表</w:t>
      </w:r>
      <w:bookmarkEnd w:id="60"/>
    </w:p>
    <w:p>
      <w:pPr>
        <w:pStyle w:val="2"/>
        <w:spacing w:before="0" w:after="0" w:line="560" w:lineRule="exact"/>
        <w:ind w:firstLineChars="200" w:firstLine="640"/>
        <w:rPr>
          <w:rFonts w:ascii="Times New Roman" w:eastAsia="方正仿宋_GBK" w:hAnsi="Times New Roman"/>
          <w:color w:val="000000"/>
        </w:rPr>
      </w:pPr>
      <w:bookmarkStart w:id="61" w:name="_Toc15396620"/>
      <w:r>
        <w:rPr>
          <w:rFonts w:ascii="Times New Roman" w:eastAsia="方正仿宋_GBK" w:hAnsi="Times New Roman" w:hint="eastAsia"/>
          <w:b w:val="0"/>
          <w:color w:val="000000"/>
        </w:rPr>
        <w:t>二、收</w:t>
      </w:r>
      <w:r>
        <w:rPr>
          <w:rStyle w:val="2Char"/>
          <w:rFonts w:ascii="Times New Roman" w:eastAsia="方正仿宋_GBK" w:hAnsi="Times New Roman" w:hint="eastAsia"/>
          <w:b w:val="0"/>
          <w:bCs w:val="0"/>
        </w:rPr>
        <w:t>入决算表</w:t>
      </w:r>
      <w:bookmarkEnd w:id="61"/>
    </w:p>
    <w:p>
      <w:pPr>
        <w:pStyle w:val="2"/>
        <w:spacing w:before="0" w:after="0" w:line="560" w:lineRule="exact"/>
        <w:ind w:firstLineChars="200" w:firstLine="640"/>
        <w:rPr>
          <w:rFonts w:ascii="Times New Roman" w:eastAsia="方正仿宋_GBK" w:hAnsi="Times New Roman"/>
          <w:color w:val="000000"/>
        </w:rPr>
      </w:pPr>
      <w:bookmarkStart w:id="62" w:name="_Toc15396621"/>
      <w:r>
        <w:rPr>
          <w:rStyle w:val="2Char"/>
          <w:rFonts w:ascii="Times New Roman" w:eastAsia="方正仿宋_GBK" w:hAnsi="Times New Roman" w:hint="eastAsia"/>
          <w:b w:val="0"/>
          <w:bCs w:val="0"/>
        </w:rPr>
        <w:t>三、</w:t>
      </w:r>
      <w:r>
        <w:rPr>
          <w:rFonts w:ascii="Times New Roman" w:eastAsia="方正仿宋_GBK" w:hAnsi="Times New Roman" w:hint="eastAsia"/>
          <w:b w:val="0"/>
          <w:color w:val="000000"/>
        </w:rPr>
        <w:t>支</w:t>
      </w:r>
      <w:r>
        <w:rPr>
          <w:rStyle w:val="2Char"/>
          <w:rFonts w:ascii="Times New Roman" w:eastAsia="方正仿宋_GBK" w:hAnsi="Times New Roman" w:hint="eastAsia"/>
          <w:b w:val="0"/>
          <w:bCs w:val="0"/>
        </w:rPr>
        <w:t>出决算表</w:t>
      </w:r>
      <w:bookmarkEnd w:id="62"/>
    </w:p>
    <w:p>
      <w:pPr>
        <w:pStyle w:val="2"/>
        <w:spacing w:before="0" w:after="0" w:line="560" w:lineRule="exact"/>
        <w:ind w:firstLineChars="200" w:firstLine="640"/>
        <w:rPr>
          <w:rFonts w:ascii="Times New Roman" w:eastAsia="方正仿宋_GBK" w:hAnsi="Times New Roman"/>
          <w:b w:val="0"/>
          <w:color w:val="000000"/>
        </w:rPr>
      </w:pPr>
      <w:bookmarkStart w:id="63" w:name="_Toc15396622"/>
      <w:r>
        <w:rPr>
          <w:rStyle w:val="2Char"/>
          <w:rFonts w:ascii="Times New Roman" w:eastAsia="方正仿宋_GBK" w:hAnsi="Times New Roman" w:hint="eastAsia"/>
          <w:b w:val="0"/>
          <w:bCs w:val="0"/>
        </w:rPr>
        <w:t>四、</w:t>
      </w:r>
      <w:r>
        <w:rPr>
          <w:rFonts w:ascii="Times New Roman" w:eastAsia="方正仿宋_GBK" w:hAnsi="Times New Roman" w:hint="eastAsia"/>
          <w:b w:val="0"/>
          <w:color w:val="000000"/>
        </w:rPr>
        <w:t>财</w:t>
      </w:r>
      <w:r>
        <w:rPr>
          <w:rStyle w:val="2Char"/>
          <w:rFonts w:ascii="Times New Roman" w:eastAsia="方正仿宋_GBK" w:hAnsi="Times New Roman" w:hint="eastAsia"/>
          <w:b w:val="0"/>
          <w:bCs w:val="0"/>
        </w:rPr>
        <w:t>政拨款收入支出决算总表</w:t>
      </w:r>
      <w:bookmarkEnd w:id="63"/>
    </w:p>
    <w:p>
      <w:pPr>
        <w:pStyle w:val="2"/>
        <w:spacing w:before="0" w:after="0" w:line="560" w:lineRule="exact"/>
        <w:ind w:firstLineChars="200" w:firstLine="640"/>
        <w:rPr>
          <w:rStyle w:val="2Char"/>
          <w:rFonts w:ascii="Times New Roman" w:eastAsia="方正仿宋_GBK" w:hAnsi="Times New Roman"/>
          <w:b w:val="0"/>
          <w:bCs w:val="0"/>
        </w:rPr>
      </w:pPr>
      <w:bookmarkStart w:id="64" w:name="_Toc15396623"/>
      <w:r>
        <w:rPr>
          <w:rStyle w:val="2Char"/>
          <w:rFonts w:ascii="Times New Roman" w:eastAsia="方正仿宋_GBK" w:hAnsi="Times New Roman" w:hint="eastAsia"/>
          <w:b w:val="0"/>
          <w:bCs w:val="0"/>
        </w:rPr>
        <w:t>五、</w:t>
      </w:r>
      <w:r>
        <w:rPr>
          <w:rFonts w:ascii="Times New Roman" w:eastAsia="方正仿宋_GBK" w:hAnsi="Times New Roman" w:hint="eastAsia"/>
          <w:b w:val="0"/>
          <w:color w:val="000000"/>
        </w:rPr>
        <w:t>财</w:t>
      </w:r>
      <w:r>
        <w:rPr>
          <w:rStyle w:val="2Char"/>
          <w:rFonts w:ascii="Times New Roman" w:eastAsia="方正仿宋_GBK" w:hAnsi="Times New Roman" w:hint="eastAsia"/>
          <w:b w:val="0"/>
          <w:bCs w:val="0"/>
        </w:rPr>
        <w:t>政拨款支出决算明细表</w:t>
      </w:r>
      <w:bookmarkStart w:id="65" w:name="_Toc15396624"/>
      <w:bookmarkEnd w:id="64"/>
    </w:p>
    <w:p>
      <w:pPr>
        <w:pStyle w:val="2"/>
        <w:spacing w:before="0" w:after="0" w:line="560" w:lineRule="exact"/>
        <w:ind w:firstLineChars="200" w:firstLine="640"/>
        <w:rPr>
          <w:rFonts w:ascii="Times New Roman" w:eastAsia="方正仿宋_GBK" w:hAnsi="Times New Roman"/>
          <w:color w:val="000000"/>
        </w:rPr>
      </w:pPr>
      <w:r>
        <w:rPr>
          <w:rStyle w:val="2Char"/>
          <w:rFonts w:ascii="Times New Roman" w:eastAsia="方正仿宋_GBK" w:hAnsi="Times New Roman" w:hint="eastAsia"/>
          <w:b w:val="0"/>
          <w:bCs w:val="0"/>
        </w:rPr>
        <w:t>六、</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般公共预算财政拨款支出决算表</w:t>
      </w:r>
      <w:bookmarkEnd w:id="65"/>
    </w:p>
    <w:p>
      <w:pPr>
        <w:pStyle w:val="2"/>
        <w:spacing w:before="0" w:after="0" w:line="560" w:lineRule="exact"/>
        <w:ind w:firstLineChars="200" w:firstLine="640"/>
        <w:rPr>
          <w:rFonts w:ascii="Times New Roman" w:eastAsia="方正仿宋_GBK" w:hAnsi="Times New Roman"/>
          <w:color w:val="000000"/>
        </w:rPr>
      </w:pPr>
      <w:bookmarkStart w:id="66" w:name="_Toc15396625"/>
      <w:r>
        <w:rPr>
          <w:rStyle w:val="2Char"/>
          <w:rFonts w:ascii="Times New Roman" w:eastAsia="方正仿宋_GBK" w:hAnsi="Times New Roman" w:hint="eastAsia"/>
          <w:b w:val="0"/>
          <w:bCs w:val="0"/>
        </w:rPr>
        <w:t>七、</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般公共预算财政拨款支出决算明细表</w:t>
      </w:r>
      <w:bookmarkEnd w:id="66"/>
    </w:p>
    <w:p>
      <w:pPr>
        <w:pStyle w:val="2"/>
        <w:spacing w:before="0" w:after="0" w:line="560" w:lineRule="exact"/>
        <w:ind w:firstLineChars="200" w:firstLine="640"/>
        <w:rPr>
          <w:rFonts w:ascii="Times New Roman" w:eastAsia="方正仿宋_GBK" w:hAnsi="Times New Roman"/>
          <w:color w:val="000000"/>
        </w:rPr>
      </w:pPr>
      <w:bookmarkStart w:id="67" w:name="_Toc15396626"/>
      <w:r>
        <w:rPr>
          <w:rStyle w:val="2Char"/>
          <w:rFonts w:ascii="Times New Roman" w:eastAsia="方正仿宋_GBK" w:hAnsi="Times New Roman" w:hint="eastAsia"/>
          <w:b w:val="0"/>
          <w:bCs w:val="0"/>
        </w:rPr>
        <w:t>八、</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般公共预算财政拨款基本支出决算表</w:t>
      </w:r>
      <w:bookmarkEnd w:id="67"/>
    </w:p>
    <w:p>
      <w:pPr>
        <w:pStyle w:val="2"/>
        <w:spacing w:before="0" w:after="0" w:line="560" w:lineRule="exact"/>
        <w:ind w:firstLineChars="200" w:firstLine="640"/>
        <w:rPr>
          <w:rFonts w:ascii="Times New Roman" w:eastAsia="方正仿宋_GBK" w:hAnsi="Times New Roman"/>
          <w:color w:val="000000"/>
        </w:rPr>
      </w:pPr>
      <w:bookmarkStart w:id="68" w:name="_Toc15396627"/>
      <w:r>
        <w:rPr>
          <w:rStyle w:val="2Char"/>
          <w:rFonts w:ascii="Times New Roman" w:eastAsia="方正仿宋_GBK" w:hAnsi="Times New Roman" w:hint="eastAsia"/>
          <w:b w:val="0"/>
          <w:bCs w:val="0"/>
        </w:rPr>
        <w:t>九、</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般公共预算财政拨款项目支出决算表</w:t>
      </w:r>
      <w:bookmarkEnd w:id="68"/>
    </w:p>
    <w:p>
      <w:pPr>
        <w:pStyle w:val="2"/>
        <w:spacing w:before="0" w:after="0" w:line="560" w:lineRule="exact"/>
        <w:ind w:firstLineChars="200" w:firstLine="640"/>
        <w:rPr>
          <w:rFonts w:ascii="Times New Roman" w:eastAsia="方正仿宋_GBK" w:hAnsi="Times New Roman"/>
          <w:color w:val="000000"/>
        </w:rPr>
      </w:pPr>
      <w:bookmarkStart w:id="69" w:name="_Toc15396628"/>
      <w:r>
        <w:rPr>
          <w:rStyle w:val="2Char"/>
          <w:rFonts w:ascii="Times New Roman" w:eastAsia="方正仿宋_GBK" w:hAnsi="Times New Roman" w:hint="eastAsia"/>
          <w:b w:val="0"/>
          <w:bCs w:val="0"/>
        </w:rPr>
        <w:t>十、</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三公</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经费支出决算表</w:t>
      </w:r>
      <w:bookmarkEnd w:id="69"/>
    </w:p>
    <w:p>
      <w:pPr>
        <w:pStyle w:val="2"/>
        <w:spacing w:before="0" w:after="0" w:line="560" w:lineRule="exact"/>
        <w:ind w:firstLineChars="200" w:firstLine="640"/>
        <w:rPr>
          <w:rFonts w:ascii="Times New Roman" w:eastAsia="方正仿宋_GBK" w:hAnsi="Times New Roman"/>
          <w:color w:val="000000"/>
        </w:rPr>
      </w:pPr>
      <w:bookmarkStart w:id="70" w:name="_Toc15396629"/>
      <w:r>
        <w:rPr>
          <w:rStyle w:val="2Char"/>
          <w:rFonts w:ascii="Times New Roman" w:eastAsia="方正仿宋_GBK" w:hAnsi="Times New Roman" w:hint="eastAsia"/>
          <w:b w:val="0"/>
          <w:bCs w:val="0"/>
        </w:rPr>
        <w:t>十一、</w:t>
      </w:r>
      <w:r>
        <w:rPr>
          <w:rFonts w:ascii="Times New Roman" w:eastAsia="方正仿宋_GBK" w:hAnsi="Times New Roman" w:hint="eastAsia"/>
          <w:b w:val="0"/>
          <w:color w:val="000000"/>
        </w:rPr>
        <w:t>政</w:t>
      </w:r>
      <w:r>
        <w:rPr>
          <w:rStyle w:val="2Char"/>
          <w:rFonts w:ascii="Times New Roman" w:eastAsia="方正仿宋_GBK" w:hAnsi="Times New Roman" w:hint="eastAsia"/>
          <w:b w:val="0"/>
          <w:bCs w:val="0"/>
        </w:rPr>
        <w:t>府性基金预算财政拨款收入支出决算表</w:t>
      </w:r>
      <w:bookmarkEnd w:id="70"/>
    </w:p>
    <w:p>
      <w:pPr>
        <w:pStyle w:val="2"/>
        <w:spacing w:before="0" w:after="0" w:line="560" w:lineRule="exact"/>
        <w:ind w:firstLineChars="200" w:firstLine="640"/>
        <w:rPr>
          <w:rFonts w:ascii="Times New Roman" w:eastAsia="方正仿宋_GBK" w:hAnsi="Times New Roman"/>
          <w:color w:val="000000"/>
        </w:rPr>
      </w:pPr>
      <w:bookmarkStart w:id="71" w:name="_Toc15396630"/>
      <w:r>
        <w:rPr>
          <w:rStyle w:val="2Char"/>
          <w:rFonts w:ascii="Times New Roman" w:eastAsia="方正仿宋_GBK" w:hAnsi="Times New Roman" w:hint="eastAsia"/>
          <w:b w:val="0"/>
          <w:bCs w:val="0"/>
        </w:rPr>
        <w:t>十二、</w:t>
      </w:r>
      <w:r>
        <w:rPr>
          <w:rFonts w:ascii="Times New Roman" w:eastAsia="方正仿宋_GBK" w:hAnsi="Times New Roman" w:hint="eastAsia"/>
          <w:b w:val="0"/>
          <w:color w:val="000000"/>
        </w:rPr>
        <w:t>政</w:t>
      </w:r>
      <w:r>
        <w:rPr>
          <w:rStyle w:val="2Char"/>
          <w:rFonts w:ascii="Times New Roman" w:eastAsia="方正仿宋_GBK" w:hAnsi="Times New Roman" w:hint="eastAsia"/>
          <w:b w:val="0"/>
          <w:bCs w:val="0"/>
        </w:rPr>
        <w:t>府性基金预算财政拨款</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三公</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经费支出决算表</w:t>
      </w:r>
      <w:bookmarkEnd w:id="71"/>
    </w:p>
    <w:p>
      <w:pPr>
        <w:pStyle w:val="2"/>
        <w:spacing w:before="0" w:after="0" w:line="560" w:lineRule="exact"/>
        <w:ind w:firstLineChars="200" w:firstLine="640"/>
        <w:rPr>
          <w:rFonts w:ascii="Times New Roman" w:eastAsia="方正仿宋_GBK" w:hAnsi="Times New Roman"/>
          <w:color w:val="000000"/>
        </w:rPr>
      </w:pPr>
      <w:bookmarkStart w:id="72" w:name="_Toc15396631"/>
      <w:r>
        <w:rPr>
          <w:rStyle w:val="2Char"/>
          <w:rFonts w:ascii="Times New Roman" w:eastAsia="方正仿宋_GBK" w:hAnsi="Times New Roman" w:hint="eastAsia"/>
          <w:b w:val="0"/>
          <w:bCs w:val="0"/>
        </w:rPr>
        <w:t>十三、</w:t>
      </w:r>
      <w:r>
        <w:rPr>
          <w:rFonts w:ascii="Times New Roman" w:eastAsia="方正仿宋_GBK" w:hAnsi="Times New Roman" w:hint="eastAsia"/>
          <w:b w:val="0"/>
          <w:color w:val="000000"/>
        </w:rPr>
        <w:t>国</w:t>
      </w:r>
      <w:r>
        <w:rPr>
          <w:rStyle w:val="2Char"/>
          <w:rFonts w:ascii="Times New Roman" w:eastAsia="方正仿宋_GBK" w:hAnsi="Times New Roman" w:hint="eastAsia"/>
          <w:b w:val="0"/>
          <w:bCs w:val="0"/>
        </w:rPr>
        <w:t>有资本经营预算支出决算表</w:t>
      </w:r>
      <w:bookmarkEnd w:id="72"/>
    </w:p>
    <w:sectPr>
      <w:headerReference w:type="default" r:id="rId2"/>
      <w:footerReference w:type="default" r:id="rId3"/>
      <w:pgSz w:w="11906" w:h="16838"/>
      <w:pgMar w:top="1701" w:right="1588" w:bottom="1588" w:left="1588"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方正楷体简体">
    <w:panose1 w:val="03000509000000000000"/>
    <w:charset w:val="86"/>
    <w:family w:val="script"/>
    <w:pitch w:val="variable"/>
    <w:sig w:usb0="00000001" w:usb1="080E0000" w:usb2="00000000" w:usb3="00000000" w:csb0="00040000" w:csb1="00000000"/>
  </w:font>
  <w:font w:name="楷体_GB2312">
    <w:altName w:val="永中楷体"/>
    <w:panose1 w:val="00000000000000000000"/>
    <w:charset w:val="86"/>
    <w:family w:val="modern"/>
    <w:pitch w:val="variable"/>
    <w:sig w:usb0="00000000" w:usb1="00000000" w:usb2="0000001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楷体">
    <w:altName w:val="永中楷体"/>
    <w:panose1 w:val="02010609060101010101"/>
    <w:charset w:val="86"/>
    <w:family w:val="modern"/>
    <w:pitch w:val="variable"/>
    <w:sig w:usb0="800002BF" w:usb1="38CF7CFA" w:usb2="00000016" w:usb3="00000000" w:csb0="00040001" w:csb1="00000000"/>
  </w:font>
  <w:font w:name="Cambria">
    <w:altName w:val="DejaVu Sans"/>
    <w:panose1 w:val="02040503050406030204"/>
    <w:charset w:val="00"/>
    <w:family w:val="roman"/>
    <w:pitch w:val="variable"/>
    <w:sig w:usb0="E00002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fldChar w:fldCharType="begin"/>
    </w:r>
    <w:r>
      <w:instrText>PAGE   \* MERGEFORMAT</w:instrText>
    </w:r>
    <w:r>
      <w:fldChar w:fldCharType="separate"/>
    </w:r>
    <w:r>
      <w:rPr>
        <w:lang w:val="zh-CN"/>
      </w:rPr>
      <w:t>34</w:t>
    </w:r>
    <w:r>
      <w:rPr>
        <w:lang w:val="zh-CN"/>
      </w:rPr>
      <w:fldChar w:fldCharType="end"/>
    </w:r>
  </w:p>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C0BEF30"/>
    <w:multiLevelType w:val="singleLevel"/>
    <w:tmpl w:val="EC0BEF30"/>
    <w:lvl w:ilvl="0">
      <w:start w:val="1"/>
      <w:numFmt w:val="chineseCounting"/>
      <w:lvlRestart w:val="0"/>
      <w:suff w:val="nothing"/>
      <w:lvlText w:val="（%1）"/>
      <w:lvlJc w:val="left"/>
      <w:pPr>
        <w:tabs>
          <w:tab w:val="num" w:pos="0"/>
        </w:tabs>
        <w:ind w:left="0" w:hanging="0"/>
      </w:pPr>
      <w:rPr>
        <w:rFonts w:ascii="楷体_GB2312" w:hAnsi="楷体_GB2312" w:eastAsia="楷体_GB2312" w:cs="楷体_GB2312" w:hint="eastAsia"/>
        <w:b/>
        <w:bCs/>
        <w:sz w:val="32"/>
        <w:szCs w:val="32"/>
      </w:rPr>
    </w:lvl>
  </w:abstractNum>
  <w:abstractNum w:abstractNumId="1">
    <w:nsid w:val="97327590"/>
    <w:multiLevelType w:val="singleLevel"/>
    <w:tmpl w:val="97327590"/>
    <w:lvl w:ilvl="0">
      <w:start w:val="3"/>
      <w:numFmt w:val="chineseCounting"/>
      <w:lvlRestart w:val="0"/>
      <w:suff w:val="nothing"/>
      <w:lvlText w:val="%1、"/>
      <w:lvlJc w:val="left"/>
      <w:pPr>
        <w:tabs>
          <w:tab w:val="num" w:pos="0"/>
        </w:tabs>
        <w:ind w:left="0" w:hanging="0"/>
      </w:pPr>
      <w:rPr>
        <w:rFonts w:hint="eastAsia"/>
      </w:rPr>
    </w:lvl>
  </w:abstractNum>
  <w:abstractNum w:abstractNumId="2">
    <w:nsid w:val="0633A94B"/>
    <w:multiLevelType w:val="singleLevel"/>
    <w:tmpl w:val="0633A94B"/>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24"/>
      <w:szCs w:val="2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kern w:val="0"/>
      <w:sz w:val="18"/>
      <w:szCs w:val="20"/>
    </w:rPr>
  </w:style>
  <w:style w:type="paragraph" w:styleId="19">
    <w:name w:val="header"/>
    <w:basedOn w:val="0"/>
    <w:pPr>
      <w:pBdr>
        <w:bottom w:val="single" w:sz="6" w:space="1" w:color="auto"/>
      </w:pBdr>
      <w:tabs>
        <w:tab w:val="center" w:pos="4153"/>
        <w:tab w:val="right" w:pos="8306"/>
      </w:tabs>
      <w:snapToGrid w:val="0"/>
      <w:jc w:val="center"/>
    </w:pPr>
    <w:rPr>
      <w:kern w:val="0"/>
      <w:sz w:val="18"/>
      <w:szCs w:val="20"/>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rFonts w:cs="Times New Roman"/>
      <w:b/>
    </w:rPr>
  </w:style>
  <w:style w:type="character" w:styleId="23">
    <w:name w:val="Hyperlink"/>
    <w:basedOn w:val="10"/>
    <w:rPr>
      <w:rFonts w:cs="Times New Roman"/>
      <w:color w:val="0000FF"/>
      <w:u w:val="single"/>
    </w:rPr>
  </w:style>
  <w:style w:type="paragraph" w:customStyle="1" w:styleId="24">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5">
    <w:name w:val="List Paragraph"/>
    <w:basedOn w:val="0"/>
    <w:pPr>
      <w:ind w:firstLineChars="200" w:firstLine="200"/>
    </w:pPr>
  </w:style>
  <w:style w:type="paragraph" w:customStyle="1" w:styleId="26">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7">
    <w:name w:val="TOC 标题2"/>
    <w:basedOn w:val="1"/>
    <w:next w:val="0"/>
    <w:pPr>
      <w:keepNext/>
      <w:keepLines/>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Yozo_Office27021597764231179</Application>
  <Pages>38</Pages>
  <Words>14255</Words>
  <Characters>15444</Characters>
  <Lines>1192</Lines>
  <Paragraphs>555</Paragraphs>
  <CharactersWithSpaces>15703</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cp:revision>
  <cp:lastPrinted>2020-09-17T10:07:00Z</cp:lastPrinted>
  <dcterms:created xsi:type="dcterms:W3CDTF">2020-09-18T01:49:00Z</dcterms:created>
  <dcterms:modified xsi:type="dcterms:W3CDTF">2021-12-09T01:53:29Z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2052-11.1.0.9999</vt:lpwstr>
  </property>
</Properties>
</file>