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600" w:lineRule="exact"/>
        <w:jc w:val="center"/>
        <w:outlineLvl w:val="0"/>
        <w:rPr>
          <w:rFonts w:ascii="方正小标宋简体;宋体-方正超大字符集" w:hAnsi="方正小标宋简体;宋体-方正超大字符集" w:eastAsia="方正小标宋简体;宋体-方正超大字符集" w:cs="宋体"/>
          <w:color w:val="000000"/>
          <w:sz w:val="72"/>
          <w:szCs w:val="72"/>
        </w:rPr>
      </w:pPr>
    </w:p>
    <w:p>
      <w:pPr>
        <w:numPr>
          <w:ilvl w:val="0"/>
          <w:numId w:val="0"/>
        </w:numPr>
        <w:spacing w:line="600" w:lineRule="exact"/>
        <w:jc w:val="center"/>
        <w:outlineLvl w:val="0"/>
        <w:rPr>
          <w:rFonts w:ascii="方正小标宋简体;宋体-方正超大字符集" w:hAnsi="方正小标宋简体;宋体-方正超大字符集" w:eastAsia="方正小标宋简体;宋体-方正超大字符集" w:cs="宋体"/>
          <w:color w:val="000000"/>
          <w:sz w:val="72"/>
          <w:szCs w:val="72"/>
        </w:rPr>
      </w:pPr>
    </w:p>
    <w:p>
      <w:pPr>
        <w:numPr>
          <w:ilvl w:val="0"/>
          <w:numId w:val="0"/>
        </w:numPr>
        <w:spacing w:line="600" w:lineRule="exact"/>
        <w:jc w:val="center"/>
        <w:outlineLvl w:val="0"/>
        <w:rPr>
          <w:rFonts w:ascii="方正小标宋简体;宋体-方正超大字符集" w:hAnsi="方正小标宋简体;宋体-方正超大字符集" w:eastAsia="方正小标宋简体;宋体-方正超大字符集" w:cs="宋体"/>
          <w:color w:val="000000"/>
          <w:sz w:val="72"/>
          <w:szCs w:val="72"/>
        </w:rPr>
      </w:pPr>
    </w:p>
    <w:p>
      <w:pPr>
        <w:numPr>
          <w:ilvl w:val="0"/>
          <w:numId w:val="0"/>
        </w:numPr>
        <w:spacing w:line="600" w:lineRule="exact"/>
        <w:jc w:val="center"/>
        <w:outlineLvl w:val="0"/>
        <w:rPr>
          <w:rFonts w:ascii="方正小标宋简体;宋体-方正超大字符集" w:hAnsi="方正小标宋简体;宋体-方正超大字符集" w:eastAsia="方正小标宋简体;宋体-方正超大字符集" w:cs="宋体"/>
          <w:color w:val="000000"/>
          <w:sz w:val="72"/>
          <w:szCs w:val="72"/>
        </w:rPr>
      </w:pPr>
    </w:p>
    <w:p>
      <w:pPr>
        <w:numPr>
          <w:ilvl w:val="0"/>
          <w:numId w:val="0"/>
        </w:numPr>
        <w:spacing w:line="600" w:lineRule="exact"/>
        <w:jc w:val="center"/>
        <w:outlineLvl w:val="0"/>
        <w:rPr>
          <w:rFonts w:ascii="方正小标宋简体;宋体-方正超大字符集" w:hAnsi="方正小标宋简体;宋体-方正超大字符集" w:eastAsia="方正小标宋简体;宋体-方正超大字符集" w:cs="宋体"/>
          <w:color w:val="000000"/>
          <w:sz w:val="72"/>
          <w:szCs w:val="72"/>
        </w:rPr>
      </w:pPr>
    </w:p>
    <w:p>
      <w:pPr>
        <w:numPr>
          <w:ilvl w:val="0"/>
          <w:numId w:val="0"/>
        </w:numPr>
        <w:spacing w:line="600" w:lineRule="exact"/>
        <w:jc w:val="center"/>
        <w:outlineLvl w:val="0"/>
        <w:rPr>
          <w:rFonts w:ascii="方正小标宋_GBK" w:hAnsi="方正小标宋_GBK" w:eastAsia="方正小标宋_GBK" w:cs="方正小标宋_GBK"/>
          <w:color w:val="000000"/>
          <w:sz w:val="56"/>
          <w:szCs w:val="56"/>
        </w:rPr>
      </w:pPr>
    </w:p>
    <w:p>
      <w:pPr>
        <w:numPr>
          <w:ilvl w:val="0"/>
          <w:numId w:val="0"/>
        </w:numPr>
        <w:snapToGrid w:val="0"/>
        <w:spacing w:line="360" w:lineRule="auto"/>
        <w:jc w:val="center"/>
        <w:outlineLvl w:val="0"/>
        <w:rPr>
          <w:rFonts w:ascii="方正小标宋_GBK" w:hAnsi="方正小标宋_GBK" w:eastAsia="方正小标宋_GBK" w:cs="方正小标宋_GBK"/>
          <w:color w:val="000000"/>
          <w:sz w:val="56"/>
          <w:szCs w:val="56"/>
          <w:lang w:eastAsia="zh-CN"/>
        </w:rPr>
      </w:pPr>
      <w:r>
        <w:rPr>
          <w:rFonts w:ascii="方正小标宋_GBK" w:hAnsi="方正小标宋_GBK" w:eastAsia="方正小标宋_GBK" w:cs="方正小标宋_GBK"/>
          <w:color w:val="000000"/>
          <w:sz w:val="56"/>
          <w:szCs w:val="56"/>
          <w:lang w:eastAsia="zh-CN"/>
        </w:rPr>
        <w:t>达州市达川区城乡环境治理中心</w:t>
      </w:r>
    </w:p>
    <w:p>
      <w:pPr>
        <w:numPr>
          <w:ilvl w:val="0"/>
          <w:numId w:val="0"/>
        </w:numPr>
        <w:snapToGrid w:val="0"/>
        <w:spacing w:line="360" w:lineRule="auto"/>
        <w:jc w:val="center"/>
        <w:outlineLvl w:val="0"/>
        <w:rPr>
          <w:rFonts w:ascii="方正小标宋_GBK" w:hAnsi="方正小标宋_GBK" w:eastAsia="方正小标宋_GBK" w:cs="方正小标宋_GBK"/>
          <w:color w:val="000000"/>
          <w:sz w:val="56"/>
          <w:szCs w:val="56"/>
          <w:lang w:eastAsia="zh-CN"/>
        </w:rPr>
      </w:pPr>
      <w:r>
        <w:rPr>
          <w:rFonts w:ascii="方正小标宋_GBK" w:hAnsi="方正小标宋_GBK" w:eastAsia="方正小标宋_GBK" w:cs="方正小标宋_GBK"/>
          <w:color w:val="000000"/>
          <w:sz w:val="56"/>
          <w:szCs w:val="56"/>
        </w:rPr>
        <w:t>2020年度部门决算</w:t>
      </w:r>
      <w:r>
        <w:rPr>
          <w:rFonts w:ascii="方正小标宋_GBK" w:hAnsi="方正小标宋_GBK" w:eastAsia="方正小标宋_GBK" w:cs="方正小标宋_GBK"/>
          <w:color w:val="000000"/>
          <w:sz w:val="56"/>
          <w:szCs w:val="56"/>
          <w:lang w:eastAsia="zh-CN"/>
        </w:rPr>
        <w:t>编制的说明</w:t>
      </w:r>
      <w:r>
        <w:br w:type="page"/>
      </w:r>
    </w:p>
    <w:p>
      <w:pPr>
        <w:widowControl/>
        <w:jc w:val="center"/>
        <w:rPr>
          <w:rFonts w:ascii="黑体" w:hAnsi="黑体" w:eastAsia="黑体" w:cs="黑体"/>
          <w:color w:val="000000"/>
          <w:sz w:val="48"/>
          <w:szCs w:val="48"/>
        </w:rPr>
      </w:pPr>
      <w:r>
        <w:rPr>
          <w:rFonts w:ascii="黑体" w:hAnsi="黑体" w:eastAsia="黑体" w:cs="黑体"/>
          <w:color w:val="000000"/>
          <w:sz w:val="48"/>
          <w:szCs w:val="48"/>
        </w:rPr>
        <w:t>目录</w:t>
      </w:r>
    </w:p>
    <w:p>
      <w:pPr>
        <w:widowControl/>
        <w:jc w:val="center"/>
        <w:rPr>
          <w:rFonts w:ascii="黑体" w:hAnsi="黑体" w:eastAsia="黑体" w:cs="黑体"/>
          <w:color w:val="000000"/>
          <w:sz w:val="28"/>
          <w:szCs w:val="28"/>
        </w:rPr>
      </w:pPr>
    </w:p>
    <w:p>
      <w:pPr>
        <w:pStyle w:val="7"/>
      </w:pPr>
      <w:r>
        <w:t>公开时间：2021年</w:t>
      </w:r>
      <w:r>
        <w:rPr>
          <w:lang w:val="en-US" w:eastAsia="zh-CN"/>
        </w:rPr>
        <w:t>9</w:t>
      </w:r>
      <w:r>
        <w:t>月</w:t>
      </w:r>
      <w:r>
        <w:rPr>
          <w:lang w:val="en-US" w:eastAsia="zh-CN"/>
        </w:rPr>
        <w:t>10</w:t>
      </w:r>
      <w:r>
        <w:t>日</w:t>
      </w:r>
    </w:p>
    <w:p/>
    <w:p>
      <w:pPr>
        <w:pStyle w:val="7"/>
        <w:snapToGrid w:val="0"/>
        <w:spacing w:beforeLines="0" w:beforeAutospacing="0" w:afterLines="0" w:afterAutospacing="0" w:line="440" w:lineRule="exact"/>
        <w:jc w:val="center"/>
        <w:rPr>
          <w:rFonts w:ascii="方正黑体_GBK" w:hAnsi="方正黑体_GBK" w:eastAsia="方正黑体_GBK" w:cs="方正黑体_GBK"/>
          <w:sz w:val="24"/>
          <w:szCs w:val="24"/>
        </w:rPr>
      </w:pPr>
      <w:r>
        <w:rPr>
          <w:rFonts w:ascii="方正黑体_GBK" w:hAnsi="方正黑体_GBK" w:eastAsia="方正黑体_GBK" w:cs="方正黑体_GBK"/>
          <w:sz w:val="24"/>
        </w:rPr>
        <w:t>第一部分 部门概况</w:t>
      </w:r>
    </w:p>
    <w:p>
      <w:pPr>
        <w:pStyle w:val="8"/>
        <w:snapToGrid w:val="0"/>
        <w:spacing w:line="440" w:lineRule="exact"/>
        <w:jc w:val="left"/>
        <w:rPr>
          <w:rFonts w:ascii="仿宋" w:hAnsi="仿宋" w:eastAsia="仿宋" w:cs="仿宋"/>
          <w:sz w:val="24"/>
        </w:rPr>
      </w:pPr>
      <w:r>
        <w:rPr>
          <w:sz w:val="24"/>
        </w:rPr>
        <w:t>一、基本职能及主要工作</w:t>
      </w:r>
    </w:p>
    <w:p>
      <w:pPr>
        <w:pStyle w:val="8"/>
        <w:snapToGrid w:val="0"/>
        <w:spacing w:line="440" w:lineRule="exact"/>
        <w:jc w:val="left"/>
        <w:rPr>
          <w:rFonts w:ascii="仿宋" w:hAnsi="仿宋" w:eastAsia="仿宋" w:cs="仿宋"/>
          <w:sz w:val="24"/>
        </w:rPr>
      </w:pPr>
      <w:r>
        <w:rPr>
          <w:sz w:val="24"/>
        </w:rPr>
        <w:t>二、机构设置</w:t>
      </w:r>
    </w:p>
    <w:p>
      <w:pPr>
        <w:pStyle w:val="7"/>
        <w:snapToGrid w:val="0"/>
        <w:spacing w:beforeLines="0" w:beforeAutospacing="0" w:afterLines="0" w:afterAutospacing="0" w:line="440" w:lineRule="exact"/>
        <w:jc w:val="center"/>
        <w:rPr>
          <w:rFonts w:ascii="方正黑体_GBK" w:hAnsi="方正黑体_GBK" w:eastAsia="方正黑体_GBK" w:cs="方正黑体_GBK"/>
          <w:sz w:val="24"/>
          <w:szCs w:val="24"/>
        </w:rPr>
      </w:pPr>
      <w:r>
        <w:rPr>
          <w:rFonts w:ascii="方正黑体_GBK" w:hAnsi="方正黑体_GBK" w:eastAsia="方正黑体_GBK" w:cs="方正黑体_GBK"/>
          <w:sz w:val="24"/>
        </w:rPr>
        <w:t>第二部分度部门决算情况说明</w:t>
      </w:r>
    </w:p>
    <w:p>
      <w:pPr>
        <w:pStyle w:val="8"/>
        <w:snapToGrid w:val="0"/>
        <w:spacing w:line="440" w:lineRule="exact"/>
        <w:jc w:val="left"/>
        <w:rPr>
          <w:rFonts w:ascii="仿宋" w:hAnsi="仿宋" w:eastAsia="仿宋" w:cs="仿宋"/>
          <w:sz w:val="24"/>
        </w:rPr>
      </w:pPr>
      <w:r>
        <w:rPr>
          <w:sz w:val="24"/>
        </w:rPr>
        <w:t>一、收入支出决算总体情况说明</w:t>
      </w:r>
    </w:p>
    <w:p>
      <w:pPr>
        <w:pStyle w:val="8"/>
        <w:snapToGrid w:val="0"/>
        <w:spacing w:line="440" w:lineRule="exact"/>
        <w:jc w:val="left"/>
        <w:rPr>
          <w:rFonts w:ascii="仿宋" w:hAnsi="仿宋" w:eastAsia="仿宋" w:cs="仿宋"/>
          <w:sz w:val="24"/>
        </w:rPr>
      </w:pPr>
      <w:r>
        <w:rPr>
          <w:sz w:val="24"/>
        </w:rPr>
        <w:t>二、收入决算情况说明</w:t>
      </w:r>
    </w:p>
    <w:p>
      <w:pPr>
        <w:pStyle w:val="8"/>
        <w:snapToGrid w:val="0"/>
        <w:spacing w:line="440" w:lineRule="exact"/>
        <w:jc w:val="left"/>
        <w:rPr>
          <w:rFonts w:ascii="仿宋" w:hAnsi="仿宋" w:eastAsia="仿宋" w:cs="仿宋"/>
          <w:sz w:val="24"/>
        </w:rPr>
      </w:pPr>
      <w:r>
        <w:rPr>
          <w:sz w:val="24"/>
        </w:rPr>
        <w:t>三、支出决算情况说明</w:t>
      </w:r>
    </w:p>
    <w:p>
      <w:pPr>
        <w:pStyle w:val="8"/>
        <w:snapToGrid w:val="0"/>
        <w:spacing w:line="440" w:lineRule="exact"/>
        <w:jc w:val="left"/>
        <w:rPr>
          <w:rFonts w:ascii="仿宋" w:hAnsi="仿宋" w:eastAsia="仿宋" w:cs="仿宋"/>
          <w:sz w:val="24"/>
        </w:rPr>
      </w:pPr>
      <w:r>
        <w:rPr>
          <w:sz w:val="24"/>
        </w:rPr>
        <w:t>四、财政拨款收入支出决算总体情况说明</w:t>
      </w:r>
    </w:p>
    <w:p>
      <w:pPr>
        <w:pStyle w:val="8"/>
        <w:snapToGrid w:val="0"/>
        <w:spacing w:line="440" w:lineRule="exact"/>
        <w:jc w:val="left"/>
        <w:rPr>
          <w:rFonts w:ascii="仿宋" w:hAnsi="仿宋" w:eastAsia="仿宋" w:cs="仿宋"/>
          <w:sz w:val="24"/>
        </w:rPr>
      </w:pPr>
      <w:r>
        <w:rPr>
          <w:sz w:val="24"/>
        </w:rPr>
        <w:t>五、一般公共预算财政拨款支出决算情况说明</w:t>
      </w:r>
    </w:p>
    <w:p>
      <w:pPr>
        <w:pStyle w:val="8"/>
        <w:snapToGrid w:val="0"/>
        <w:spacing w:line="440" w:lineRule="exact"/>
        <w:jc w:val="left"/>
        <w:rPr>
          <w:rFonts w:ascii="仿宋" w:hAnsi="仿宋" w:eastAsia="仿宋" w:cs="仿宋"/>
          <w:sz w:val="24"/>
        </w:rPr>
      </w:pPr>
      <w:r>
        <w:rPr>
          <w:sz w:val="24"/>
        </w:rPr>
        <w:t>六、一般公共预算财政拨款基本支出决算情况说明</w:t>
      </w:r>
    </w:p>
    <w:p>
      <w:pPr>
        <w:pStyle w:val="8"/>
        <w:snapToGrid w:val="0"/>
        <w:spacing w:line="440" w:lineRule="exact"/>
        <w:jc w:val="left"/>
        <w:rPr>
          <w:rFonts w:ascii="仿宋" w:hAnsi="仿宋" w:eastAsia="仿宋" w:cs="仿宋"/>
          <w:sz w:val="24"/>
        </w:rPr>
      </w:pPr>
      <w:r>
        <w:rPr>
          <w:sz w:val="24"/>
        </w:rPr>
        <w:t>七、“三公”经费财政拨款支出决算情况说明</w:t>
      </w:r>
    </w:p>
    <w:p>
      <w:pPr>
        <w:pStyle w:val="8"/>
        <w:snapToGrid w:val="0"/>
        <w:spacing w:line="440" w:lineRule="exact"/>
        <w:jc w:val="left"/>
        <w:rPr>
          <w:rFonts w:ascii="仿宋" w:hAnsi="仿宋" w:eastAsia="仿宋" w:cs="仿宋"/>
          <w:sz w:val="24"/>
        </w:rPr>
      </w:pPr>
      <w:r>
        <w:rPr>
          <w:sz w:val="24"/>
        </w:rPr>
        <w:t>八、政府性基金预算支出决算情况说明</w:t>
      </w:r>
    </w:p>
    <w:p>
      <w:pPr>
        <w:pStyle w:val="8"/>
        <w:snapToGrid w:val="0"/>
        <w:spacing w:line="440" w:lineRule="exact"/>
        <w:jc w:val="left"/>
        <w:rPr>
          <w:rFonts w:ascii="仿宋" w:hAnsi="仿宋" w:eastAsia="仿宋" w:cs="仿宋"/>
          <w:sz w:val="24"/>
        </w:rPr>
      </w:pPr>
      <w:r>
        <w:rPr>
          <w:rFonts w:ascii="仿宋" w:hAnsi="仿宋" w:eastAsia="仿宋" w:cs="仿宋"/>
          <w:sz w:val="24"/>
        </w:rPr>
        <w:t>九、</w:t>
      </w:r>
      <w:r>
        <w:rPr>
          <w:rFonts w:eastAsia="Times New Roman"/>
          <w:sz w:val="24"/>
        </w:rPr>
        <w:t xml:space="preserve"> </w:t>
      </w:r>
      <w:r>
        <w:rPr>
          <w:sz w:val="24"/>
        </w:rPr>
        <w:t>国有资本经营预算支出决算情况说明</w:t>
      </w:r>
    </w:p>
    <w:p>
      <w:pPr>
        <w:snapToGrid w:val="0"/>
        <w:spacing w:line="440" w:lineRule="exact"/>
        <w:jc w:val="left"/>
        <w:rPr>
          <w:rFonts w:ascii="仿宋" w:hAnsi="仿宋" w:eastAsia="仿宋" w:cs="仿宋"/>
          <w:sz w:val="24"/>
        </w:rPr>
      </w:pPr>
      <w:r>
        <w:rPr>
          <w:rStyle w:val="15"/>
          <w:rFonts w:ascii="仿宋" w:hAnsi="仿宋" w:eastAsia="仿宋" w:cs="仿宋"/>
          <w:color w:val="000000"/>
          <w:sz w:val="24"/>
          <w:u w:val="none"/>
        </w:rPr>
        <w:t>十、</w:t>
      </w:r>
      <w:r>
        <w:rPr>
          <w:sz w:val="24"/>
        </w:rPr>
        <w:t>其他重要事项的情况说明</w:t>
      </w:r>
      <w:r>
        <w:rPr>
          <w:rFonts w:ascii="仿宋" w:hAnsi="仿宋" w:eastAsia="仿宋" w:cs="仿宋"/>
          <w:sz w:val="24"/>
        </w:rPr>
        <w:tab/>
      </w:r>
    </w:p>
    <w:p>
      <w:pPr>
        <w:pStyle w:val="7"/>
        <w:snapToGrid w:val="0"/>
        <w:spacing w:beforeLines="0" w:beforeAutospacing="0" w:afterLines="0" w:afterAutospacing="0" w:line="440" w:lineRule="exact"/>
        <w:jc w:val="center"/>
        <w:rPr>
          <w:rFonts w:ascii="方正黑体_GBK" w:hAnsi="方正黑体_GBK" w:eastAsia="方正黑体_GBK" w:cs="方正黑体_GBK"/>
          <w:sz w:val="24"/>
          <w:szCs w:val="24"/>
        </w:rPr>
      </w:pPr>
      <w:r>
        <w:rPr>
          <w:rFonts w:ascii="方正黑体_GBK" w:hAnsi="方正黑体_GBK" w:eastAsia="方正黑体_GBK" w:cs="方正黑体_GBK"/>
          <w:sz w:val="24"/>
        </w:rPr>
        <w:t>第三部分 名词解释</w:t>
      </w:r>
    </w:p>
    <w:p>
      <w:pPr>
        <w:pStyle w:val="7"/>
        <w:snapToGrid w:val="0"/>
        <w:spacing w:beforeLines="0" w:beforeAutospacing="0" w:afterLines="0" w:afterAutospacing="0" w:line="440" w:lineRule="exact"/>
        <w:jc w:val="center"/>
        <w:rPr>
          <w:rFonts w:ascii="方正黑体_GBK" w:hAnsi="方正黑体_GBK" w:eastAsia="方正黑体_GBK" w:cs="方正黑体_GBK"/>
          <w:sz w:val="24"/>
          <w:szCs w:val="24"/>
        </w:rPr>
      </w:pPr>
      <w:r>
        <w:rPr>
          <w:rFonts w:ascii="方正黑体_GBK" w:hAnsi="方正黑体_GBK" w:eastAsia="方正黑体_GBK" w:cs="方正黑体_GBK"/>
          <w:sz w:val="24"/>
        </w:rPr>
        <w:t>第四部分 附件</w:t>
      </w:r>
    </w:p>
    <w:p>
      <w:pPr>
        <w:pStyle w:val="8"/>
        <w:snapToGrid w:val="0"/>
        <w:spacing w:line="440" w:lineRule="exact"/>
        <w:jc w:val="left"/>
        <w:rPr>
          <w:rFonts w:ascii="仿宋" w:hAnsi="仿宋" w:eastAsia="仿宋" w:cs="仿宋"/>
          <w:sz w:val="24"/>
        </w:rPr>
      </w:pPr>
      <w:r>
        <w:rPr>
          <w:sz w:val="24"/>
        </w:rPr>
        <w:t>附件1</w:t>
      </w:r>
    </w:p>
    <w:p>
      <w:pPr>
        <w:pStyle w:val="7"/>
        <w:snapToGrid w:val="0"/>
        <w:spacing w:beforeLines="0" w:beforeAutospacing="0" w:afterLines="0" w:afterAutospacing="0" w:line="440" w:lineRule="exact"/>
        <w:jc w:val="center"/>
        <w:rPr>
          <w:rFonts w:ascii="方正黑体_GBK" w:hAnsi="方正黑体_GBK" w:eastAsia="方正黑体_GBK" w:cs="方正黑体_GBK"/>
          <w:sz w:val="24"/>
          <w:szCs w:val="24"/>
        </w:rPr>
      </w:pPr>
      <w:r>
        <w:rPr>
          <w:rFonts w:ascii="方正黑体_GBK" w:hAnsi="方正黑体_GBK" w:eastAsia="方正黑体_GBK" w:cs="方正黑体_GBK"/>
          <w:sz w:val="24"/>
        </w:rPr>
        <w:t>第五部分 附表</w:t>
      </w:r>
    </w:p>
    <w:p>
      <w:pPr>
        <w:pStyle w:val="8"/>
        <w:snapToGrid w:val="0"/>
        <w:spacing w:line="440" w:lineRule="exact"/>
        <w:jc w:val="left"/>
        <w:rPr>
          <w:rFonts w:ascii="仿宋" w:hAnsi="仿宋" w:eastAsia="仿宋" w:cs="仿宋"/>
          <w:sz w:val="24"/>
        </w:rPr>
      </w:pPr>
      <w:r>
        <w:rPr>
          <w:rFonts w:ascii="仿宋" w:hAnsi="仿宋" w:eastAsia="仿宋" w:cs="仿宋"/>
          <w:sz w:val="24"/>
        </w:rPr>
        <w:t>一、</w:t>
      </w:r>
      <w:r>
        <w:rPr>
          <w:sz w:val="24"/>
        </w:rPr>
        <w:t>收入支出决算总表</w:t>
      </w:r>
    </w:p>
    <w:p>
      <w:pPr>
        <w:pStyle w:val="8"/>
        <w:snapToGrid w:val="0"/>
        <w:spacing w:line="440" w:lineRule="exact"/>
        <w:jc w:val="left"/>
        <w:rPr>
          <w:rFonts w:ascii="仿宋" w:hAnsi="仿宋" w:eastAsia="仿宋" w:cs="仿宋"/>
          <w:sz w:val="24"/>
        </w:rPr>
      </w:pPr>
      <w:r>
        <w:rPr>
          <w:rFonts w:ascii="仿宋" w:hAnsi="仿宋" w:eastAsia="仿宋" w:cs="仿宋"/>
          <w:sz w:val="24"/>
        </w:rPr>
        <w:t>二、</w:t>
      </w:r>
      <w:r>
        <w:rPr>
          <w:sz w:val="24"/>
        </w:rPr>
        <w:t>收入</w:t>
      </w:r>
      <w:r>
        <w:rPr>
          <w:rFonts w:ascii="仿宋" w:hAnsi="仿宋" w:eastAsia="仿宋" w:cs="仿宋"/>
          <w:sz w:val="24"/>
        </w:rPr>
        <w:t>决算</w:t>
      </w:r>
      <w:r>
        <w:rPr>
          <w:sz w:val="24"/>
        </w:rPr>
        <w:t>表</w:t>
      </w:r>
    </w:p>
    <w:p>
      <w:pPr>
        <w:pStyle w:val="8"/>
        <w:snapToGrid w:val="0"/>
        <w:spacing w:line="440" w:lineRule="exact"/>
        <w:jc w:val="left"/>
        <w:rPr>
          <w:rFonts w:ascii="仿宋" w:hAnsi="仿宋" w:eastAsia="仿宋" w:cs="仿宋"/>
          <w:sz w:val="24"/>
        </w:rPr>
      </w:pPr>
      <w:r>
        <w:rPr>
          <w:rFonts w:ascii="仿宋" w:hAnsi="仿宋" w:eastAsia="仿宋" w:cs="仿宋"/>
          <w:sz w:val="24"/>
        </w:rPr>
        <w:t>三、</w:t>
      </w:r>
      <w:r>
        <w:rPr>
          <w:sz w:val="24"/>
        </w:rPr>
        <w:t>支出</w:t>
      </w:r>
      <w:r>
        <w:rPr>
          <w:rFonts w:ascii="仿宋" w:hAnsi="仿宋" w:eastAsia="仿宋" w:cs="仿宋"/>
          <w:sz w:val="24"/>
        </w:rPr>
        <w:t>决算</w:t>
      </w:r>
      <w:r>
        <w:rPr>
          <w:sz w:val="24"/>
        </w:rPr>
        <w:t>表</w:t>
      </w:r>
    </w:p>
    <w:p>
      <w:pPr>
        <w:pStyle w:val="8"/>
        <w:snapToGrid w:val="0"/>
        <w:spacing w:line="440" w:lineRule="exact"/>
        <w:jc w:val="left"/>
        <w:rPr>
          <w:rFonts w:ascii="仿宋" w:hAnsi="仿宋" w:eastAsia="仿宋" w:cs="仿宋"/>
          <w:sz w:val="24"/>
        </w:rPr>
      </w:pPr>
      <w:r>
        <w:rPr>
          <w:rFonts w:ascii="仿宋" w:hAnsi="仿宋" w:eastAsia="仿宋" w:cs="仿宋"/>
          <w:sz w:val="24"/>
        </w:rPr>
        <w:t>四、</w:t>
      </w:r>
      <w:r>
        <w:rPr>
          <w:sz w:val="24"/>
        </w:rPr>
        <w:t>财政拨款收入支出决算总表</w:t>
      </w:r>
    </w:p>
    <w:p>
      <w:pPr>
        <w:pStyle w:val="8"/>
        <w:snapToGrid w:val="0"/>
        <w:spacing w:line="440" w:lineRule="exact"/>
        <w:jc w:val="left"/>
        <w:rPr>
          <w:rFonts w:ascii="仿宋" w:hAnsi="仿宋" w:eastAsia="仿宋" w:cs="仿宋"/>
          <w:sz w:val="24"/>
        </w:rPr>
      </w:pPr>
      <w:r>
        <w:rPr>
          <w:rFonts w:ascii="仿宋" w:hAnsi="仿宋" w:eastAsia="仿宋" w:cs="仿宋"/>
          <w:sz w:val="24"/>
        </w:rPr>
        <w:t>五、财政拨款支出决算明细表</w:t>
      </w:r>
    </w:p>
    <w:p>
      <w:pPr>
        <w:pStyle w:val="8"/>
        <w:snapToGrid w:val="0"/>
        <w:spacing w:line="440" w:lineRule="exact"/>
        <w:jc w:val="left"/>
        <w:rPr>
          <w:rFonts w:ascii="仿宋" w:hAnsi="仿宋" w:eastAsia="仿宋" w:cs="仿宋"/>
          <w:sz w:val="24"/>
        </w:rPr>
      </w:pPr>
      <w:r>
        <w:rPr>
          <w:rFonts w:ascii="仿宋" w:hAnsi="仿宋" w:eastAsia="仿宋" w:cs="仿宋"/>
          <w:sz w:val="24"/>
        </w:rPr>
        <w:t>六、</w:t>
      </w:r>
      <w:r>
        <w:rPr>
          <w:sz w:val="24"/>
        </w:rPr>
        <w:t>一般公共预算财政拨款支出决算表</w:t>
      </w:r>
    </w:p>
    <w:p>
      <w:pPr>
        <w:pStyle w:val="8"/>
        <w:snapToGrid w:val="0"/>
        <w:spacing w:line="440" w:lineRule="exact"/>
        <w:jc w:val="left"/>
        <w:rPr>
          <w:rFonts w:ascii="仿宋" w:hAnsi="仿宋" w:eastAsia="仿宋" w:cs="仿宋"/>
          <w:sz w:val="24"/>
        </w:rPr>
      </w:pPr>
      <w:r>
        <w:rPr>
          <w:rFonts w:ascii="仿宋" w:hAnsi="仿宋" w:eastAsia="仿宋" w:cs="仿宋"/>
          <w:sz w:val="24"/>
        </w:rPr>
        <w:t>七、</w:t>
      </w:r>
      <w:r>
        <w:rPr>
          <w:sz w:val="24"/>
        </w:rPr>
        <w:t>一般公共预算财政拨款支出决算明细表</w:t>
      </w:r>
    </w:p>
    <w:p>
      <w:pPr>
        <w:pStyle w:val="8"/>
        <w:snapToGrid w:val="0"/>
        <w:spacing w:line="440" w:lineRule="exact"/>
        <w:jc w:val="left"/>
        <w:rPr>
          <w:rFonts w:ascii="仿宋" w:hAnsi="仿宋" w:eastAsia="仿宋" w:cs="仿宋"/>
          <w:sz w:val="24"/>
        </w:rPr>
      </w:pPr>
      <w:r>
        <w:rPr>
          <w:rFonts w:ascii="仿宋" w:hAnsi="仿宋" w:eastAsia="仿宋" w:cs="仿宋"/>
          <w:sz w:val="24"/>
        </w:rPr>
        <w:t>八、</w:t>
      </w:r>
      <w:r>
        <w:rPr>
          <w:sz w:val="24"/>
        </w:rPr>
        <w:t>一般公共预算财政拨款基本支出决算表</w:t>
      </w:r>
    </w:p>
    <w:p>
      <w:pPr>
        <w:pStyle w:val="8"/>
        <w:snapToGrid w:val="0"/>
        <w:spacing w:line="440" w:lineRule="exact"/>
        <w:jc w:val="left"/>
        <w:rPr>
          <w:rFonts w:ascii="仿宋" w:hAnsi="仿宋" w:eastAsia="仿宋" w:cs="仿宋"/>
          <w:sz w:val="24"/>
        </w:rPr>
      </w:pPr>
      <w:r>
        <w:rPr>
          <w:rFonts w:ascii="仿宋" w:hAnsi="仿宋" w:eastAsia="仿宋" w:cs="仿宋"/>
          <w:sz w:val="24"/>
        </w:rPr>
        <w:t>九、</w:t>
      </w:r>
      <w:r>
        <w:rPr>
          <w:sz w:val="24"/>
        </w:rPr>
        <w:t>一般公共预算财政拨款项目支出决算表</w:t>
      </w:r>
    </w:p>
    <w:p>
      <w:pPr>
        <w:pStyle w:val="8"/>
        <w:snapToGrid w:val="0"/>
        <w:spacing w:line="440" w:lineRule="exact"/>
        <w:jc w:val="left"/>
        <w:rPr>
          <w:rFonts w:ascii="仿宋" w:hAnsi="仿宋" w:eastAsia="仿宋" w:cs="仿宋"/>
          <w:sz w:val="24"/>
        </w:rPr>
      </w:pPr>
      <w:r>
        <w:rPr>
          <w:rFonts w:ascii="仿宋" w:hAnsi="仿宋" w:eastAsia="仿宋" w:cs="仿宋"/>
          <w:sz w:val="24"/>
        </w:rPr>
        <w:t>十、</w:t>
      </w:r>
      <w:r>
        <w:rPr>
          <w:sz w:val="24"/>
        </w:rPr>
        <w:t>一般公共预算财政拨款“三公”经费支出决算表</w:t>
      </w:r>
    </w:p>
    <w:p>
      <w:pPr>
        <w:pStyle w:val="8"/>
        <w:snapToGrid w:val="0"/>
        <w:spacing w:line="440" w:lineRule="exact"/>
        <w:jc w:val="left"/>
        <w:rPr>
          <w:rFonts w:ascii="仿宋" w:hAnsi="仿宋" w:eastAsia="仿宋" w:cs="仿宋"/>
          <w:sz w:val="24"/>
        </w:rPr>
      </w:pPr>
      <w:r>
        <w:rPr>
          <w:rFonts w:ascii="仿宋" w:hAnsi="仿宋" w:eastAsia="仿宋" w:cs="仿宋"/>
          <w:sz w:val="24"/>
        </w:rPr>
        <w:t>十一、</w:t>
      </w:r>
      <w:r>
        <w:rPr>
          <w:sz w:val="24"/>
        </w:rPr>
        <w:t>政府性基金预算财政拨款收入支出决算表</w:t>
      </w:r>
    </w:p>
    <w:p>
      <w:pPr>
        <w:pStyle w:val="8"/>
        <w:snapToGrid w:val="0"/>
        <w:spacing w:line="440" w:lineRule="exact"/>
        <w:jc w:val="left"/>
        <w:rPr>
          <w:rFonts w:ascii="仿宋" w:hAnsi="仿宋" w:eastAsia="仿宋" w:cs="仿宋"/>
          <w:sz w:val="24"/>
        </w:rPr>
      </w:pPr>
      <w:r>
        <w:rPr>
          <w:rFonts w:ascii="仿宋" w:hAnsi="仿宋" w:eastAsia="仿宋" w:cs="仿宋"/>
          <w:sz w:val="24"/>
        </w:rPr>
        <w:t>十二、</w:t>
      </w:r>
      <w:r>
        <w:rPr>
          <w:sz w:val="24"/>
        </w:rPr>
        <w:t>政府性基金预算财政拨款“三公”经费支出决算表</w:t>
      </w:r>
    </w:p>
    <w:p>
      <w:pPr>
        <w:pStyle w:val="8"/>
        <w:snapToGrid w:val="0"/>
        <w:spacing w:line="440" w:lineRule="exact"/>
        <w:jc w:val="left"/>
        <w:rPr>
          <w:rFonts w:ascii="仿宋" w:hAnsi="仿宋" w:eastAsia="仿宋" w:cs="仿宋"/>
          <w:sz w:val="24"/>
        </w:rPr>
      </w:pPr>
      <w:r>
        <w:rPr>
          <w:rFonts w:ascii="仿宋" w:hAnsi="仿宋" w:eastAsia="仿宋" w:cs="仿宋"/>
          <w:sz w:val="24"/>
        </w:rPr>
        <w:t>十三、国有资本经营预算财政拨款收入支出决算表</w:t>
      </w:r>
    </w:p>
    <w:p>
      <w:pPr>
        <w:pStyle w:val="8"/>
        <w:snapToGrid w:val="0"/>
        <w:spacing w:line="440" w:lineRule="exact"/>
        <w:jc w:val="left"/>
        <w:rPr>
          <w:rFonts w:ascii="仿宋" w:hAnsi="仿宋" w:eastAsia="仿宋" w:cs="仿宋"/>
          <w:sz w:val="24"/>
        </w:rPr>
      </w:pPr>
      <w:r>
        <w:rPr>
          <w:rFonts w:ascii="仿宋" w:hAnsi="仿宋" w:eastAsia="仿宋" w:cs="仿宋"/>
          <w:sz w:val="24"/>
        </w:rPr>
        <w:t>十四、国有资本经营预算财政拨款支出决算表</w:t>
      </w:r>
    </w:p>
    <w:p>
      <w:pPr>
        <w:widowControl/>
        <w:snapToGrid w:val="0"/>
        <w:spacing w:line="440" w:lineRule="exact"/>
        <w:jc w:val="left"/>
        <w:rPr>
          <w:rFonts w:ascii="仿宋" w:hAnsi="仿宋" w:eastAsia="仿宋" w:cs="仿宋"/>
          <w:color w:val="FF0000"/>
          <w:sz w:val="24"/>
        </w:rPr>
      </w:pPr>
      <w:r>
        <w:rPr>
          <w:rFonts w:ascii="仿宋" w:hAnsi="仿宋" w:eastAsia="仿宋" w:cs="仿宋"/>
          <w:color w:val="FF0000"/>
          <w:sz w:val="24"/>
        </w:rPr>
        <w:t>(注：请部门根据实际注明页码)</w:t>
      </w:r>
      <w:r>
        <w:br w:type="page"/>
      </w:r>
    </w:p>
    <w:p>
      <w:pPr>
        <w:widowControl/>
        <w:spacing w:line="440" w:lineRule="exact"/>
        <w:jc w:val="left"/>
        <w:rPr>
          <w:rFonts w:ascii="仿宋" w:hAnsi="仿宋" w:eastAsia="仿宋" w:cs="仿宋"/>
          <w:b/>
          <w:bCs/>
          <w:color w:val="FF0000"/>
          <w:kern w:val="2"/>
          <w:sz w:val="24"/>
        </w:rPr>
      </w:pPr>
    </w:p>
    <w:p>
      <w:pPr>
        <w:pStyle w:val="2"/>
        <w:jc w:val="center"/>
        <w:rPr>
          <w:rStyle w:val="12"/>
          <w:rFonts w:ascii="黑体" w:hAnsi="黑体" w:eastAsia="黑体" w:cs="黑体"/>
          <w:b w:val="0"/>
          <w:bCs w:val="0"/>
        </w:rPr>
      </w:pPr>
      <w:r>
        <w:rPr>
          <w:rFonts w:ascii="黑体" w:hAnsi="黑体" w:eastAsia="黑体" w:cs="黑体"/>
          <w:b w:val="0"/>
        </w:rPr>
        <w:t xml:space="preserve">第一部分 </w:t>
      </w:r>
      <w:r>
        <w:rPr>
          <w:rStyle w:val="12"/>
          <w:rFonts w:ascii="黑体" w:hAnsi="黑体" w:eastAsia="黑体" w:cs="黑体"/>
          <w:b w:val="0"/>
          <w:bCs w:val="0"/>
        </w:rPr>
        <w:t>部门概况</w:t>
      </w:r>
    </w:p>
    <w:p>
      <w:pPr>
        <w:widowControl/>
        <w:jc w:val="left"/>
        <w:rPr>
          <w:rStyle w:val="12"/>
          <w:rFonts w:ascii="黑体" w:hAnsi="黑体" w:eastAsia="黑体" w:cs="黑体"/>
          <w:b/>
          <w:color w:val="000000"/>
          <w:sz w:val="32"/>
          <w:szCs w:val="32"/>
        </w:rPr>
      </w:pPr>
    </w:p>
    <w:p>
      <w:pPr>
        <w:pStyle w:val="3"/>
        <w:rPr>
          <w:rStyle w:val="13"/>
          <w:rFonts w:ascii="仿宋" w:hAnsi="仿宋" w:eastAsia="仿宋" w:cs="仿宋"/>
          <w:b w:val="0"/>
          <w:bCs w:val="0"/>
        </w:rPr>
      </w:pPr>
      <w:r>
        <w:rPr>
          <w:rFonts w:ascii="黑体" w:hAnsi="黑体" w:eastAsia="黑体" w:cs="黑体"/>
          <w:b w:val="0"/>
          <w:color w:val="000000"/>
        </w:rPr>
        <w:t>一、基</w:t>
      </w:r>
      <w:r>
        <w:rPr>
          <w:rStyle w:val="13"/>
          <w:rFonts w:ascii="黑体" w:hAnsi="黑体" w:eastAsia="黑体" w:cs="黑体"/>
          <w:b w:val="0"/>
          <w:bCs w:val="0"/>
        </w:rPr>
        <w:t>本职能及主要工作</w:t>
      </w:r>
    </w:p>
    <w:p>
      <w:pPr>
        <w:keepNext w:val="0"/>
        <w:keepLines w:val="0"/>
        <w:pageBreakBefore w:val="0"/>
        <w:widowControl w:val="0"/>
        <w:numPr>
          <w:ilvl w:val="0"/>
          <w:numId w:val="0"/>
        </w:numPr>
        <w:kinsoku/>
        <w:overflowPunct/>
        <w:bidi w:val="0"/>
        <w:spacing w:line="578" w:lineRule="exact"/>
        <w:textAlignment w:val="auto"/>
        <w:rPr>
          <w:rFonts w:ascii="仿宋" w:hAnsi="仿宋" w:eastAsia="仿宋" w:cs="仿宋"/>
          <w:bCs/>
          <w:color w:val="000000"/>
          <w:sz w:val="32"/>
          <w:szCs w:val="32"/>
        </w:rPr>
      </w:pPr>
      <w:r>
        <w:rPr>
          <w:rFonts w:ascii="仿宋" w:hAnsi="仿宋" w:eastAsia="仿宋" w:cs="仿宋"/>
          <w:bCs/>
          <w:color w:val="000000"/>
          <w:sz w:val="32"/>
          <w:szCs w:val="32"/>
        </w:rPr>
        <w:t>（一）主要职能。</w:t>
      </w:r>
    </w:p>
    <w:p>
      <w:pPr>
        <w:keepNext w:val="0"/>
        <w:keepLines w:val="0"/>
        <w:pageBreakBefore w:val="0"/>
        <w:widowControl w:val="0"/>
        <w:numPr>
          <w:ilvl w:val="0"/>
          <w:numId w:val="0"/>
        </w:numPr>
        <w:kinsoku/>
        <w:overflowPunct/>
        <w:bidi w:val="0"/>
        <w:spacing w:line="578" w:lineRule="exact"/>
        <w:textAlignment w:val="auto"/>
        <w:rPr>
          <w:rFonts w:ascii="方正仿宋_GBK" w:hAnsi="方正仿宋_GBK" w:eastAsia="方正仿宋_GBK" w:cs="方正仿宋_GBK"/>
        </w:rPr>
      </w:pPr>
      <w:r>
        <w:rPr>
          <w:rFonts w:ascii="方正仿宋_GBK" w:hAnsi="方正仿宋_GBK" w:eastAsia="方正仿宋_GBK" w:cs="方正仿宋_GBK"/>
          <w:sz w:val="32"/>
          <w:szCs w:val="40"/>
        </w:rPr>
        <w:t>负责制定全区城乡环境综合治理的规划和方案，组织指导、综合协调、督促检查全区城乡环境综合治理工作的开展；负责指导乡镇规划建设管理办公室业务工作的开展；牵头考评全区各部门城乡环境治理工作实绩；负责完成区政府交办的其他工作</w:t>
      </w:r>
      <w:r>
        <w:rPr>
          <w:rFonts w:ascii="方正仿宋_GBK" w:hAnsi="方正仿宋_GBK" w:eastAsia="方正仿宋_GBK" w:cs="方正仿宋_GBK"/>
        </w:rPr>
        <w:t>。</w:t>
      </w:r>
    </w:p>
    <w:p>
      <w:pPr>
        <w:pStyle w:val="4"/>
        <w:numPr>
          <w:ilvl w:val="0"/>
          <w:numId w:val="0"/>
        </w:numPr>
        <w:snapToGrid w:val="0"/>
        <w:spacing w:beforeLines="38" w:beforeAutospacing="0" w:afterLines="0" w:afterAutospacing="0" w:line="600" w:lineRule="exact"/>
        <w:outlineLvl w:val="2"/>
        <w:rPr>
          <w:rFonts w:ascii="仿宋" w:hAnsi="仿宋" w:eastAsia="仿宋" w:cs="仿宋"/>
          <w:bCs/>
          <w:color w:val="000000"/>
          <w:sz w:val="32"/>
          <w:szCs w:val="32"/>
        </w:rPr>
      </w:pPr>
      <w:r>
        <w:rPr>
          <w:rFonts w:ascii="仿宋" w:hAnsi="仿宋" w:eastAsia="仿宋" w:cs="仿宋"/>
          <w:bCs/>
          <w:color w:val="000000"/>
          <w:sz w:val="32"/>
          <w:szCs w:val="32"/>
        </w:rPr>
        <w:t>（二）2020年重点工作完成情况。</w:t>
      </w:r>
    </w:p>
    <w:p>
      <w:pPr>
        <w:tabs>
          <w:tab w:val="left" w:pos="1816"/>
        </w:tabs>
        <w:spacing w:line="578" w:lineRule="exact"/>
        <w:rPr>
          <w:rFonts w:eastAsia="方正仿宋_GBK"/>
          <w:sz w:val="32"/>
          <w:szCs w:val="32"/>
        </w:rPr>
      </w:pPr>
      <w:r>
        <w:rPr>
          <w:rFonts w:ascii="楷体" w:hAnsi="楷体" w:eastAsia="楷体" w:cs="楷体"/>
          <w:bCs/>
          <w:sz w:val="32"/>
          <w:szCs w:val="32"/>
          <w:lang w:val="en-US" w:eastAsia="zh-CN"/>
        </w:rPr>
        <w:t>1、</w:t>
      </w:r>
      <w:r>
        <w:rPr>
          <w:rFonts w:ascii="楷体" w:hAnsi="楷体" w:eastAsia="楷体" w:cs="楷体"/>
          <w:bCs/>
          <w:sz w:val="32"/>
          <w:szCs w:val="32"/>
        </w:rPr>
        <w:t>重党建强思想，队伍建设不断加强。</w:t>
      </w:r>
      <w:r>
        <w:rPr>
          <w:rFonts w:eastAsia="方正仿宋_GBK"/>
          <w:b/>
          <w:sz w:val="32"/>
          <w:szCs w:val="32"/>
        </w:rPr>
        <w:t>一是坚持强化理论武装，自觉提高政治站位。</w:t>
      </w:r>
      <w:r>
        <w:rPr>
          <w:rFonts w:eastAsia="方正仿宋_GBK"/>
          <w:sz w:val="32"/>
          <w:szCs w:val="32"/>
        </w:rPr>
        <w:t>把政治建设摆在机关党建工作的首要位置，深入学习贯彻习近平总书记有关重要讲话和批示指示精神，不折不扣执行省、市、区委及政府决策部署，以实际行动积极践行“初心使命”、彰显“四个意识”，落实“两个维护”，为各项工作顺利完成提供了思想保障。</w:t>
      </w:r>
      <w:r>
        <w:rPr>
          <w:rFonts w:eastAsia="方正仿宋_GBK"/>
          <w:b/>
          <w:sz w:val="32"/>
          <w:szCs w:val="32"/>
        </w:rPr>
        <w:t>二是积极投身抗疫大局，坚决扛起责任担当。</w:t>
      </w:r>
      <w:r>
        <w:rPr>
          <w:rFonts w:eastAsia="方正仿宋_GBK"/>
          <w:sz w:val="32"/>
          <w:szCs w:val="32"/>
        </w:rPr>
        <w:t>全体党员同志主动进位，积极响应疫情防控号召，义无反顾报名参加党员突击队，重要交通卡口24小时值守，社区志愿者服务活动，协助石桥镇农丰村、双堰村、复兴村、鲁家坪村参与联防联控，并结合新形势、新要求积极开展场镇及农村废弃口罩收集、运输和处置工作，充分展示了非常时期共产党员的责任担当。</w:t>
      </w:r>
      <w:r>
        <w:rPr>
          <w:rFonts w:eastAsia="方正仿宋_GBK"/>
          <w:b/>
          <w:sz w:val="32"/>
          <w:szCs w:val="32"/>
        </w:rPr>
        <w:t>三是强力专注练好内功，扎实推进自身建设。</w:t>
      </w:r>
      <w:r>
        <w:rPr>
          <w:rFonts w:eastAsia="方正仿宋_GBK"/>
          <w:sz w:val="32"/>
          <w:szCs w:val="32"/>
        </w:rPr>
        <w:t>集中力量修订完善“三会一课”、干部职工学习、内部管理等制度，着力形成有计划、有安排、有督促、有考核的党建工作机制，有序推进党风廉政建设和反腐败、12340满意度测评、民情户户通、双报到、“党员活动日”、八大活动等工作，进一步提高群众了满意度，增强了党员凝聚力。</w:t>
      </w:r>
    </w:p>
    <w:p>
      <w:pPr>
        <w:spacing w:line="578" w:lineRule="exact"/>
        <w:rPr>
          <w:rFonts w:eastAsia="方正仿宋_GBK"/>
          <w:sz w:val="32"/>
          <w:szCs w:val="32"/>
        </w:rPr>
      </w:pPr>
      <w:r>
        <w:rPr>
          <w:rFonts w:ascii="楷体" w:hAnsi="楷体" w:eastAsia="楷体" w:cs="楷体"/>
          <w:bCs/>
          <w:sz w:val="32"/>
          <w:szCs w:val="32"/>
          <w:lang w:val="en-US" w:eastAsia="zh-CN"/>
        </w:rPr>
        <w:t>2、</w:t>
      </w:r>
      <w:r>
        <w:rPr>
          <w:rFonts w:ascii="楷体" w:hAnsi="楷体" w:eastAsia="楷体" w:cs="楷体"/>
          <w:bCs/>
          <w:sz w:val="32"/>
          <w:szCs w:val="32"/>
        </w:rPr>
        <w:t>重五治强整改，容貌秩序不断提升。</w:t>
      </w:r>
      <w:r>
        <w:rPr>
          <w:rFonts w:eastAsia="方正仿宋_GBK"/>
          <w:b/>
          <w:sz w:val="32"/>
          <w:szCs w:val="32"/>
        </w:rPr>
        <w:t>一是建立完善督查考评机制，突出常态长效。</w:t>
      </w:r>
      <w:r>
        <w:rPr>
          <w:rFonts w:eastAsia="方正仿宋_GBK"/>
          <w:sz w:val="32"/>
          <w:szCs w:val="32"/>
        </w:rPr>
        <w:t>统筹协调人大、政协、政府办等督查组，按照“主动指导、从严检查、巡回督查、重点督办”的原则和“周检查、月通报、季评比”的要求，对全区乡镇和部门（单位）的城乡环境综合治理（五治工程）工作进行督导考核，对26个社区进行环境卫生脏乱差月“逆排名”，全年印发督查通报11期，城乡环境得到明显改善。</w:t>
      </w:r>
      <w:r>
        <w:rPr>
          <w:rFonts w:eastAsia="方正仿宋_GBK"/>
          <w:b/>
          <w:sz w:val="32"/>
          <w:szCs w:val="32"/>
        </w:rPr>
        <w:t>二是建立完善问题导向机制，突出立行立改。</w:t>
      </w:r>
      <w:r>
        <w:rPr>
          <w:rFonts w:eastAsia="方正仿宋_GBK"/>
          <w:sz w:val="32"/>
          <w:szCs w:val="32"/>
        </w:rPr>
        <w:t>在督查督办过程中发现的问题和群众投诉举报的问题，坚持建立问题清单，形成工作台账，落实专人督导，督促问题得到及时整改，消除负面影响，规范城乡容貌秩序。今年，共收到投诉举报25起，督导发现重大环境问题83起，分别通过印发《督办通知》的形式，迅速整改并销号。</w:t>
      </w:r>
      <w:r>
        <w:rPr>
          <w:rFonts w:eastAsia="方正仿宋_GBK"/>
          <w:b/>
          <w:sz w:val="32"/>
          <w:szCs w:val="32"/>
        </w:rPr>
        <w:t>三是建立完善三级联动机制，突出标本兼治。</w:t>
      </w:r>
      <w:r>
        <w:rPr>
          <w:rFonts w:eastAsia="方正仿宋_GBK"/>
          <w:sz w:val="32"/>
          <w:szCs w:val="32"/>
        </w:rPr>
        <w:t>积极配合“四城同创”工作，充分调动有关职能部门和街道社区，大力实施牛皮癣清除、农贸市场规范、骑门摊归位、道路扬尘治理、油烟污染治理、广告喷绘污染治理等专项整治行动，对城市建构筑物张贴、喷涂、刻写、悬挂、散发的各类“牛皮癣”以及破损广告予以及时清除，在通川桥南头、石家湾和杨柳垭规范设置了地摊经济流动摊位，全面取缔了三里坪农贸市场、长城兴发农贸市场、南贸市场夜间占道经营现象和城区主次干道占道烧烤现象，累计查处乱张贴“牛皮癣”行为5起，拆除地桩、地锁350余个，销毁落地广告840余个，拆除横幅标语500余条，劝返教育脏车及密封不严车辆600余台/次，查处各类违规行为2000余起。</w:t>
      </w:r>
    </w:p>
    <w:p>
      <w:pPr>
        <w:spacing w:line="578" w:lineRule="exact"/>
        <w:rPr>
          <w:rFonts w:eastAsia="方正仿宋_GBK"/>
          <w:sz w:val="32"/>
          <w:szCs w:val="32"/>
        </w:rPr>
      </w:pPr>
      <w:r>
        <w:rPr>
          <w:rFonts w:ascii="楷体" w:hAnsi="楷体" w:eastAsia="楷体" w:cs="楷体"/>
          <w:bCs/>
          <w:sz w:val="32"/>
          <w:szCs w:val="32"/>
          <w:lang w:val="en-US" w:eastAsia="zh-CN"/>
        </w:rPr>
        <w:t>3、</w:t>
      </w:r>
      <w:r>
        <w:rPr>
          <w:rFonts w:ascii="楷体" w:hAnsi="楷体" w:eastAsia="楷体" w:cs="楷体"/>
          <w:bCs/>
          <w:sz w:val="32"/>
          <w:szCs w:val="32"/>
        </w:rPr>
        <w:t>重民生强示范，乡村环境不断改善。</w:t>
      </w:r>
      <w:r>
        <w:rPr>
          <w:rFonts w:eastAsia="方正仿宋_GBK"/>
          <w:b/>
          <w:sz w:val="32"/>
          <w:szCs w:val="32"/>
        </w:rPr>
        <w:t>一是持续推进农村生活污水治理。</w:t>
      </w:r>
      <w:r>
        <w:rPr>
          <w:rFonts w:eastAsia="方正仿宋_GBK"/>
          <w:sz w:val="32"/>
          <w:szCs w:val="32"/>
        </w:rPr>
        <w:t>按照《达川区农村生活污水治理专项规划（2016-2020）》和四川省农村生活污水治理“千村示范工程”试点示范区的要求，完成了60个聚居点污水治理设施设备建设、调试、验收、移交工作，启动了40个聚居点污水治理项目前期工作，</w:t>
      </w:r>
      <w:r>
        <w:rPr>
          <w:rFonts w:hint="eastAsia" w:eastAsia="方正仿宋_GBK"/>
          <w:sz w:val="32"/>
          <w:szCs w:val="32"/>
          <w:lang w:eastAsia="zh-CN"/>
        </w:rPr>
        <w:t>截至目前</w:t>
      </w:r>
      <w:r>
        <w:rPr>
          <w:rFonts w:eastAsia="方正仿宋_GBK"/>
          <w:sz w:val="32"/>
          <w:szCs w:val="32"/>
        </w:rPr>
        <w:t>全区累计有68个聚居点的生活污水实现“一体化”处理，2个聚居点的生活污水接入了场镇污水管网，1个聚居点的生活污水采取人工湿地模式进行了收集处理。</w:t>
      </w:r>
      <w:r>
        <w:rPr>
          <w:rFonts w:eastAsia="方正仿宋_GBK"/>
          <w:b/>
          <w:sz w:val="32"/>
          <w:szCs w:val="32"/>
        </w:rPr>
        <w:t>二是有序推进铁路沿线环境治理。</w:t>
      </w:r>
      <w:r>
        <w:rPr>
          <w:rFonts w:eastAsia="方正仿宋_GBK"/>
          <w:sz w:val="32"/>
          <w:szCs w:val="32"/>
        </w:rPr>
        <w:t>达成（襄渝）铁路沿线环境治理纳入了2020年达川区34个重点建设项目之一，渡市镇原木头乡段、金垭镇原申家乡段、金垭镇金江村段试点示范工作已完成，渡市镇和河市镇铁路沿线环境治理已完成工程量80%，累计拆除彩钢</w:t>
      </w:r>
      <w:bookmarkStart w:id="0" w:name="_GoBack"/>
      <w:bookmarkEnd w:id="0"/>
      <w:r>
        <w:rPr>
          <w:rFonts w:eastAsia="方正仿宋_GBK"/>
          <w:sz w:val="32"/>
          <w:szCs w:val="32"/>
        </w:rPr>
        <w:t>瓦棚12900㎡、违章建筑4500㎡、高危烟囱1个、残垣断壁及危旧房屋7800㎡，改造外墙立面21600㎡、瓦屋顶27650㎡、农村户厕350户，整治各类店招185块、危树危竹1200棵、乡村公路17公里，新建休闲广场5个、农村公厕4个，搬迁企业3家，制止并处罚非法作业13起，发展经果林2255亩，达川境内普速铁路安全隐患全部整治销号。</w:t>
      </w:r>
      <w:r>
        <w:rPr>
          <w:rFonts w:eastAsia="方正仿宋_GBK"/>
          <w:b/>
          <w:sz w:val="32"/>
          <w:szCs w:val="32"/>
        </w:rPr>
        <w:t>三是强力推进农村生活垃圾治理。</w:t>
      </w:r>
      <w:r>
        <w:rPr>
          <w:rFonts w:eastAsia="方正仿宋_GBK"/>
          <w:sz w:val="32"/>
          <w:szCs w:val="32"/>
        </w:rPr>
        <w:t>及时研究制定了《达州市达川区农村垃圾清运不及时、处理不规范问题专项整治方案》，具体明确了具体整治内容、相关责任单位和时间节点，已完成农村现有基础环卫设施现状普查工作，已办结整治“群众最不满意的10件事”活动群众诉求台账371条，其中2类120条，3类251条，并提交销号申请，回访满意率100%，目前正在按程序实施标准化垃圾房建设和垃圾桶、三轮车采购工作。进一步巩固乡镇、村（社）保洁队伍建设，加大垃圾收运频次和资金投入，稳妥推进农村生活垃圾收运系统建设，建立健全保障机制，扎实开展农村生活垃圾收集运输工作，垃圾收转运体系乡镇覆盖率100%，垃圾收转运体系行政村覆盖率100%，行政村保洁员配备率100%。</w:t>
      </w:r>
    </w:p>
    <w:p>
      <w:pPr>
        <w:spacing w:line="578" w:lineRule="exact"/>
        <w:rPr>
          <w:rFonts w:eastAsia="方正仿宋_GBK"/>
          <w:sz w:val="32"/>
          <w:szCs w:val="32"/>
        </w:rPr>
      </w:pPr>
      <w:r>
        <w:rPr>
          <w:rFonts w:ascii="楷体" w:hAnsi="楷体" w:eastAsia="楷体" w:cs="楷体"/>
          <w:bCs/>
          <w:sz w:val="32"/>
          <w:szCs w:val="32"/>
          <w:lang w:val="en-US" w:eastAsia="zh-CN"/>
        </w:rPr>
        <w:t>4、</w:t>
      </w:r>
      <w:r>
        <w:rPr>
          <w:rFonts w:ascii="楷体" w:hAnsi="楷体" w:eastAsia="楷体" w:cs="楷体"/>
          <w:bCs/>
          <w:sz w:val="32"/>
          <w:szCs w:val="32"/>
        </w:rPr>
        <w:t>重脱贫强清零，帮扶成效不断彰显。</w:t>
      </w:r>
      <w:r>
        <w:rPr>
          <w:rFonts w:eastAsia="方正仿宋_GBK"/>
          <w:sz w:val="32"/>
          <w:szCs w:val="32"/>
        </w:rPr>
        <w:t>麻柳镇太阳山村是我们脱贫攻坚主战场，通过开展脱贫攻坚清零行动，所有帮扶对象全部实现脱贫，驻村工作队龚军毅同志被评为“扶贫担当”四川好人。</w:t>
      </w:r>
      <w:r>
        <w:rPr>
          <w:rFonts w:eastAsia="方正仿宋_GBK"/>
          <w:b/>
          <w:sz w:val="32"/>
          <w:szCs w:val="32"/>
        </w:rPr>
        <w:t>一是定期专题研究不减。</w:t>
      </w:r>
      <w:r>
        <w:rPr>
          <w:rFonts w:eastAsia="方正仿宋_GBK"/>
          <w:sz w:val="32"/>
          <w:szCs w:val="32"/>
        </w:rPr>
        <w:t>每月定期或不定期研究部署脱贫攻坚工作，协调解决扶贫工作中出现困难和问题。农耕时节，脱贫攻坚专题会研究决定，会同区人武部共同出资约4万元为太阳山村每户村民购买了10只鸡苗和100斤化肥。</w:t>
      </w:r>
      <w:r>
        <w:rPr>
          <w:rFonts w:eastAsia="方正仿宋_GBK"/>
          <w:b/>
          <w:sz w:val="32"/>
          <w:szCs w:val="32"/>
        </w:rPr>
        <w:t>二是驻村帮扶力量不减。</w:t>
      </w:r>
      <w:r>
        <w:rPr>
          <w:rFonts w:eastAsia="方正仿宋_GBK"/>
          <w:sz w:val="32"/>
          <w:szCs w:val="32"/>
        </w:rPr>
        <w:t>原抽派2名骨干（其中1人为驻村第一书记，1人为驻村工作队队员）全脱产，常驻檀木镇太阳山村开展驻村帮扶工作，协助村支两委加强基层组织建设，研究制定并落实各项帮扶措施，推进乡村产业和集体经济持续向好发展。</w:t>
      </w:r>
      <w:r>
        <w:rPr>
          <w:rFonts w:eastAsia="方正仿宋_GBK"/>
          <w:b/>
          <w:sz w:val="32"/>
          <w:szCs w:val="32"/>
        </w:rPr>
        <w:t>三是每月结对帮扶不减。</w:t>
      </w:r>
      <w:r>
        <w:rPr>
          <w:rFonts w:eastAsia="方正仿宋_GBK"/>
          <w:sz w:val="32"/>
          <w:szCs w:val="32"/>
        </w:rPr>
        <w:t>一直以来我们坚持每月开展结对帮扶工作，帮助贫困户制定脱贫措施，宣传脱贫攻坚有关政策，解决生产生活难题，指导发展经济和产业，进一步增强了贫困户生产生活能力，无一返贫现象发生。</w:t>
      </w:r>
      <w:r>
        <w:rPr>
          <w:rFonts w:eastAsia="方正仿宋_GBK"/>
          <w:b/>
          <w:sz w:val="32"/>
          <w:szCs w:val="32"/>
        </w:rPr>
        <w:t>四是清零行动措施不减。</w:t>
      </w:r>
      <w:r>
        <w:rPr>
          <w:rFonts w:eastAsia="方正仿宋_GBK"/>
          <w:sz w:val="32"/>
          <w:szCs w:val="32"/>
        </w:rPr>
        <w:t>按照省市区《关于开展脱贫攻坚问题整改清零行动的通知》要求，我们紧紧围绕脱贫攻坚以来中央和省内脱贫攻坚成效考核、巡视巡查、督查调研、审计、媒体暗访等发现的各类问题开展整改核实，确保在“两不愁三保障”</w:t>
      </w:r>
      <w:r>
        <w:rPr>
          <w:rFonts w:eastAsia="Times New Roman"/>
          <w:sz w:val="32"/>
          <w:szCs w:val="32"/>
        </w:rPr>
        <w:t xml:space="preserve"> </w:t>
      </w:r>
      <w:r>
        <w:rPr>
          <w:rFonts w:eastAsia="方正仿宋_GBK"/>
          <w:sz w:val="32"/>
          <w:szCs w:val="32"/>
        </w:rPr>
        <w:t>上措施到位、效果明显。同时配合全区脱贫攻坚督导工作，认真开展自查自纠，建立了问题台账和整改清单，并逐项进行了整改落实。</w:t>
      </w:r>
    </w:p>
    <w:p>
      <w:pPr>
        <w:spacing w:line="578" w:lineRule="exact"/>
        <w:rPr>
          <w:rFonts w:eastAsia="方正仿宋_GBK"/>
          <w:sz w:val="32"/>
          <w:szCs w:val="32"/>
        </w:rPr>
      </w:pPr>
      <w:r>
        <w:rPr>
          <w:rFonts w:ascii="楷体" w:hAnsi="楷体" w:eastAsia="楷体" w:cs="楷体"/>
          <w:bCs/>
          <w:sz w:val="32"/>
          <w:szCs w:val="32"/>
          <w:lang w:val="en-US" w:eastAsia="zh-CN"/>
        </w:rPr>
        <w:t>5、</w:t>
      </w:r>
      <w:r>
        <w:rPr>
          <w:rFonts w:ascii="楷体" w:hAnsi="楷体" w:eastAsia="楷体" w:cs="楷体"/>
          <w:bCs/>
          <w:sz w:val="32"/>
          <w:szCs w:val="32"/>
        </w:rPr>
        <w:t>重法治强宣传，浓厚氛围不断营造。</w:t>
      </w:r>
      <w:r>
        <w:rPr>
          <w:rFonts w:eastAsia="方正仿宋_GBK"/>
          <w:b/>
          <w:sz w:val="32"/>
          <w:szCs w:val="32"/>
        </w:rPr>
        <w:t>一是认真开展依法治区工作。</w:t>
      </w:r>
      <w:r>
        <w:rPr>
          <w:rFonts w:eastAsia="方正仿宋_GBK"/>
          <w:sz w:val="32"/>
          <w:szCs w:val="32"/>
        </w:rPr>
        <w:t>紧紧围绕“法治达川”建设目标，坚持“依法治理”理念，按照“七五”普法规划，不断拓展普法宣传渠道、改进宣传方法，以培育法治精神为核心，强化干部职工学法用法，把法治学习教育与依法行政行结合起来，把普法工作和干部培训结合起来，认真学习习近平总书记关于全面依法治国的新理念、新思想、新战略、以《中华人民共和国宪法》为核心的法律法规以及新颁布施行的《中华人民共和国民法典》和《四川省城乡环境综合治理条例》营造“人人学法、人人懂法、人人守法”的浓厚氛围，提高依法行政能力。</w:t>
      </w:r>
      <w:r>
        <w:rPr>
          <w:rFonts w:eastAsia="方正仿宋_GBK"/>
          <w:b/>
          <w:sz w:val="32"/>
          <w:szCs w:val="32"/>
        </w:rPr>
        <w:t>二是扎实开展机关文化建设。</w:t>
      </w:r>
      <w:r>
        <w:rPr>
          <w:rFonts w:eastAsia="方正仿宋_GBK"/>
          <w:sz w:val="32"/>
          <w:szCs w:val="32"/>
        </w:rPr>
        <w:t>从建设机关文化入手，设置了文化宣传专栏，制定了文化宣传标语，要求干部职工遵守纪律，听从安排，克服困难，控制情绪，努力作为，正己修身，倡导“诚信、健康、文明、守纪”的单位新风，营造干事敬业氛围，激励职工奋发向上，不断提升队伍素质，增强单位战斗力和凝聚力。</w:t>
      </w:r>
      <w:r>
        <w:rPr>
          <w:rFonts w:eastAsia="方正仿宋_GBK"/>
          <w:b/>
          <w:sz w:val="32"/>
          <w:szCs w:val="32"/>
        </w:rPr>
        <w:t>三是积极开展多种形式宣传报道。</w:t>
      </w:r>
      <w:r>
        <w:rPr>
          <w:rFonts w:eastAsia="方正仿宋_GBK"/>
          <w:sz w:val="32"/>
          <w:szCs w:val="32"/>
        </w:rPr>
        <w:t>在区电视台开设了“</w:t>
      </w:r>
      <w:r>
        <w:rPr>
          <w:rFonts w:eastAsia="Times New Roman"/>
          <w:sz w:val="32"/>
          <w:szCs w:val="32"/>
        </w:rPr>
        <w:t xml:space="preserve"> </w:t>
      </w:r>
      <w:r>
        <w:rPr>
          <w:rFonts w:eastAsia="方正仿宋_GBK"/>
          <w:sz w:val="32"/>
          <w:szCs w:val="32"/>
        </w:rPr>
        <w:t>五治观察哨”专题节目，及时宣传典型，曝光问题。在区政府门户网站开辟了“大力实施五治工程</w:t>
      </w:r>
      <w:r>
        <w:rPr>
          <w:rFonts w:eastAsia="Times New Roman"/>
          <w:sz w:val="32"/>
          <w:szCs w:val="32"/>
        </w:rPr>
        <w:t xml:space="preserve"> </w:t>
      </w:r>
      <w:r>
        <w:rPr>
          <w:rFonts w:eastAsia="方正仿宋_GBK"/>
          <w:sz w:val="32"/>
          <w:szCs w:val="32"/>
        </w:rPr>
        <w:t>建设美丽幸福达川”专栏，不间断地宣传我区环境综合治理和五治工程专项行动的工作动态。继续开展“文明劝导志愿服务”活动，利用大型户外公益广告宣传党的方针政策及城乡环境综合治理工作，进一步形成了党政主导、部门履职、群众监督、全域治理的良好氛围。全年累计开设专题、专栏节目4个，公益广告72幅，组织群众性主题宣传活动2次，开展志愿者服务、文明劝导活动45次，发放宣传资料4000多份，完成信息10期。</w:t>
      </w:r>
    </w:p>
    <w:p>
      <w:pPr>
        <w:pStyle w:val="3"/>
        <w:rPr>
          <w:rStyle w:val="13"/>
          <w:b w:val="0"/>
          <w:bCs w:val="0"/>
        </w:rPr>
      </w:pPr>
      <w:r>
        <w:rPr>
          <w:rFonts w:ascii="黑体" w:hAnsi="黑体" w:eastAsia="黑体"/>
          <w:b w:val="0"/>
          <w:color w:val="000000"/>
        </w:rPr>
        <w:t>二、</w:t>
      </w:r>
      <w:r>
        <w:rPr>
          <w:rFonts w:ascii="黑体" w:hAnsi="黑体" w:eastAsia="黑体" w:cs="黑体"/>
          <w:b w:val="0"/>
          <w:color w:val="000000"/>
        </w:rPr>
        <w:t>机</w:t>
      </w:r>
      <w:r>
        <w:rPr>
          <w:rStyle w:val="13"/>
          <w:rFonts w:ascii="黑体" w:hAnsi="黑体" w:eastAsia="黑体" w:cs="黑体"/>
          <w:b w:val="0"/>
          <w:bCs w:val="0"/>
        </w:rPr>
        <w:t>构设置</w:t>
      </w:r>
    </w:p>
    <w:p>
      <w:pPr>
        <w:snapToGrid w:val="0"/>
        <w:spacing w:line="520" w:lineRule="exact"/>
        <w:rPr>
          <w:rFonts w:ascii="仿宋" w:hAnsi="仿宋" w:eastAsia="仿宋" w:cs="仿宋"/>
          <w:color w:val="000000"/>
          <w:sz w:val="32"/>
          <w:szCs w:val="32"/>
        </w:rPr>
      </w:pPr>
      <w:r>
        <w:rPr>
          <w:rFonts w:ascii="仿宋_GB2312;仿宋" w:hAnsi="仿宋_GB2312;仿宋" w:eastAsia="仿宋_GB2312;仿宋" w:cs="仿宋"/>
          <w:sz w:val="32"/>
          <w:szCs w:val="32"/>
        </w:rPr>
        <w:t>2012年3月成立为区政府管理的财政全额预算事业单位。内设综合股、宣传培训股、</w:t>
      </w:r>
      <w:r>
        <w:rPr>
          <w:rFonts w:ascii="仿宋_GB2312;仿宋" w:hAnsi="仿宋_GB2312;仿宋" w:eastAsia="仿宋_GB2312;仿宋" w:cs="仿宋"/>
          <w:sz w:val="32"/>
          <w:szCs w:val="32"/>
          <w:lang w:eastAsia="zh-CN"/>
        </w:rPr>
        <w:t>城市环境统筹股、农村环境治理股</w:t>
      </w:r>
      <w:r>
        <w:rPr>
          <w:rFonts w:ascii="仿宋_GB2312;仿宋" w:hAnsi="仿宋_GB2312;仿宋" w:eastAsia="仿宋_GB2312;仿宋" w:cs="仿宋"/>
          <w:sz w:val="32"/>
          <w:szCs w:val="32"/>
        </w:rPr>
        <w:t>、技术指导股。核定事业编制2</w:t>
      </w:r>
      <w:r>
        <w:rPr>
          <w:rFonts w:ascii="仿宋_GB2312;仿宋" w:hAnsi="仿宋_GB2312;仿宋" w:eastAsia="仿宋_GB2312;仿宋" w:cs="仿宋"/>
          <w:sz w:val="32"/>
          <w:szCs w:val="32"/>
          <w:lang w:val="en-US" w:eastAsia="zh-CN"/>
        </w:rPr>
        <w:t>3</w:t>
      </w:r>
      <w:r>
        <w:rPr>
          <w:rFonts w:ascii="仿宋_GB2312;仿宋" w:hAnsi="仿宋_GB2312;仿宋" w:eastAsia="仿宋_GB2312;仿宋" w:cs="仿宋"/>
          <w:sz w:val="32"/>
          <w:szCs w:val="32"/>
        </w:rPr>
        <w:t>名。设主任1名，副主任2名，正、副主任按正、副科级干部配备和管理。</w:t>
      </w:r>
    </w:p>
    <w:p>
      <w:pPr>
        <w:widowControl/>
        <w:jc w:val="left"/>
        <w:rPr>
          <w:rFonts w:ascii="仿宋" w:hAnsi="仿宋" w:eastAsia="仿宋" w:cs="仿宋"/>
          <w:color w:val="000000"/>
          <w:kern w:val="0"/>
          <w:sz w:val="32"/>
          <w:szCs w:val="32"/>
        </w:rPr>
      </w:pPr>
    </w:p>
    <w:p>
      <w:pPr>
        <w:pStyle w:val="2"/>
        <w:ind w:right="441" w:rightChars="210"/>
        <w:jc w:val="right"/>
        <w:rPr>
          <w:rStyle w:val="12"/>
          <w:rFonts w:ascii="黑体" w:hAnsi="黑体" w:eastAsia="黑体" w:cs="黑体"/>
          <w:b w:val="0"/>
          <w:bCs w:val="0"/>
        </w:rPr>
      </w:pPr>
      <w:r>
        <w:rPr>
          <w:rFonts w:ascii="黑体" w:hAnsi="黑体" w:eastAsia="黑体" w:cs="黑体"/>
          <w:b w:val="0"/>
          <w:color w:val="000000"/>
        </w:rPr>
        <w:t>第二部分</w:t>
      </w:r>
      <w:r>
        <w:rPr>
          <w:rFonts w:ascii="黑体" w:hAnsi="黑体" w:eastAsia="黑体" w:cs="黑体"/>
          <w:color w:val="000000"/>
        </w:rPr>
        <w:t xml:space="preserve"> </w:t>
      </w:r>
      <w:r>
        <w:rPr>
          <w:rStyle w:val="12"/>
          <w:rFonts w:ascii="黑体" w:hAnsi="黑体" w:eastAsia="黑体" w:cs="黑体"/>
          <w:b/>
          <w:bCs w:val="0"/>
        </w:rPr>
        <w:t>2020</w:t>
      </w:r>
      <w:r>
        <w:rPr>
          <w:rStyle w:val="12"/>
          <w:rFonts w:ascii="黑体" w:hAnsi="黑体" w:eastAsia="黑体" w:cs="黑体"/>
          <w:b w:val="0"/>
          <w:bCs w:val="0"/>
        </w:rPr>
        <w:t>年度部门决算情况说明</w:t>
      </w:r>
    </w:p>
    <w:p>
      <w:pPr>
        <w:rPr>
          <w:rStyle w:val="12"/>
          <w:rFonts w:ascii="黑体" w:hAnsi="黑体" w:eastAsia="黑体" w:cs="黑体"/>
        </w:rPr>
      </w:pPr>
    </w:p>
    <w:p>
      <w:pPr>
        <w:pStyle w:val="17"/>
        <w:numPr>
          <w:ilvl w:val="0"/>
          <w:numId w:val="2"/>
        </w:numPr>
        <w:spacing w:line="600" w:lineRule="exact"/>
        <w:outlineLvl w:val="1"/>
        <w:rPr>
          <w:rStyle w:val="13"/>
          <w:rFonts w:ascii="黑体" w:hAnsi="黑体" w:eastAsia="黑体" w:cs="黑体"/>
          <w:b w:val="0"/>
        </w:rPr>
      </w:pPr>
      <w:r>
        <w:rPr>
          <w:rFonts w:ascii="黑体" w:hAnsi="黑体" w:eastAsia="黑体" w:cs="黑体"/>
          <w:color w:val="000000"/>
          <w:sz w:val="32"/>
          <w:szCs w:val="32"/>
        </w:rPr>
        <w:t>收</w:t>
      </w:r>
      <w:r>
        <w:rPr>
          <w:rStyle w:val="13"/>
          <w:rFonts w:ascii="黑体" w:hAnsi="黑体" w:eastAsia="黑体" w:cs="黑体"/>
          <w:b w:val="0"/>
        </w:rPr>
        <w:t>入支出决算总体情况说明</w:t>
      </w:r>
    </w:p>
    <w:p>
      <w:pPr>
        <w:spacing w:line="600" w:lineRule="exact"/>
        <w:rPr>
          <w:rFonts w:ascii="仿宋" w:hAnsi="仿宋" w:eastAsia="仿宋" w:cs="仿宋"/>
          <w:color w:val="000000"/>
          <w:sz w:val="32"/>
          <w:szCs w:val="32"/>
          <w:lang w:eastAsia="zh-CN"/>
        </w:rPr>
      </w:pPr>
      <w:r>
        <w:rPr>
          <w:rFonts w:ascii="仿宋" w:hAnsi="仿宋" w:eastAsia="仿宋" w:cs="仿宋"/>
          <w:color w:val="000000"/>
          <w:sz w:val="32"/>
          <w:szCs w:val="32"/>
        </w:rPr>
        <w:t>2020年度收、支总计</w:t>
      </w:r>
      <w:r>
        <w:rPr>
          <w:rFonts w:ascii="仿宋" w:hAnsi="仿宋" w:eastAsia="仿宋" w:cs="仿宋"/>
          <w:color w:val="000000"/>
          <w:sz w:val="32"/>
          <w:szCs w:val="32"/>
          <w:lang w:val="en-US" w:eastAsia="zh-CN"/>
        </w:rPr>
        <w:t>3179.53</w:t>
      </w:r>
      <w:r>
        <w:rPr>
          <w:rFonts w:ascii="仿宋" w:hAnsi="仿宋" w:eastAsia="仿宋" w:cs="仿宋"/>
          <w:color w:val="000000"/>
          <w:sz w:val="32"/>
          <w:szCs w:val="32"/>
        </w:rPr>
        <w:t>万元。与2019年相比，收、支总计各</w:t>
      </w:r>
      <w:r>
        <w:rPr>
          <w:rFonts w:ascii="仿宋" w:hAnsi="仿宋" w:eastAsia="仿宋" w:cs="仿宋"/>
          <w:color w:val="000000"/>
          <w:sz w:val="32"/>
          <w:szCs w:val="32"/>
          <w:lang w:eastAsia="zh-CN"/>
        </w:rPr>
        <w:t>减少</w:t>
      </w:r>
      <w:r>
        <w:rPr>
          <w:rFonts w:ascii="仿宋" w:hAnsi="仿宋" w:eastAsia="仿宋" w:cs="仿宋"/>
          <w:color w:val="000000"/>
          <w:sz w:val="32"/>
          <w:szCs w:val="32"/>
          <w:lang w:val="en-US" w:eastAsia="zh-CN"/>
        </w:rPr>
        <w:t>124.3</w:t>
      </w:r>
      <w:r>
        <w:rPr>
          <w:rFonts w:ascii="仿宋" w:hAnsi="仿宋" w:eastAsia="仿宋" w:cs="仿宋"/>
          <w:color w:val="000000"/>
          <w:sz w:val="32"/>
          <w:szCs w:val="32"/>
        </w:rPr>
        <w:t>万元，下降</w:t>
      </w:r>
      <w:r>
        <w:rPr>
          <w:rFonts w:ascii="仿宋" w:hAnsi="仿宋" w:eastAsia="仿宋" w:cs="仿宋"/>
          <w:color w:val="000000"/>
          <w:sz w:val="32"/>
          <w:szCs w:val="32"/>
          <w:lang w:val="en-US" w:eastAsia="zh-CN"/>
        </w:rPr>
        <w:t>3.8</w:t>
      </w:r>
      <w:r>
        <w:rPr>
          <w:rFonts w:ascii="仿宋" w:hAnsi="仿宋" w:eastAsia="仿宋" w:cs="仿宋"/>
          <w:color w:val="000000"/>
          <w:sz w:val="32"/>
          <w:szCs w:val="32"/>
        </w:rPr>
        <w:t>%。主要变动原因是</w:t>
      </w:r>
      <w:r>
        <w:rPr>
          <w:rFonts w:ascii="仿宋" w:hAnsi="仿宋" w:eastAsia="仿宋" w:cs="仿宋"/>
          <w:color w:val="000000"/>
          <w:sz w:val="32"/>
          <w:szCs w:val="32"/>
          <w:lang w:eastAsia="zh-CN"/>
        </w:rPr>
        <w:t>千村示范工程进度款减少。</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t>（图1：收、支决算总计变动情况图）（柱状图）</w:t>
      </w:r>
    </w:p>
    <w:p>
      <w:pPr>
        <w:spacing w:line="600" w:lineRule="exact"/>
        <w:jc w:val="left"/>
        <w:rPr>
          <w:rFonts w:ascii="仿宋_GB2312;仿宋" w:hAnsi="仿宋_GB2312;仿宋" w:eastAsia="仿宋_GB2312;仿宋" w:cs="仿宋"/>
          <w:color w:val="000000"/>
          <w:sz w:val="32"/>
          <w:szCs w:val="32"/>
        </w:rPr>
      </w:pPr>
      <w:r>
        <w:rPr>
          <w:rFonts w:ascii="仿宋_GB2312;仿宋" w:hAnsi="仿宋_GB2312;仿宋" w:eastAsia="仿宋_GB2312;仿宋" w:cs="仿宋"/>
          <w:color w:val="000000"/>
          <w:sz w:val="32"/>
          <w:szCs w:val="32"/>
        </w:rPr>
        <w:drawing>
          <wp:anchor distT="0" distB="0" distL="114935" distR="114935" simplePos="0" relativeHeight="251659264" behindDoc="0" locked="0" layoutInCell="0" allowOverlap="1">
            <wp:simplePos x="0" y="0"/>
            <wp:positionH relativeFrom="column">
              <wp:posOffset>180975</wp:posOffset>
            </wp:positionH>
            <wp:positionV relativeFrom="paragraph">
              <wp:posOffset>365125</wp:posOffset>
            </wp:positionV>
            <wp:extent cx="4591050" cy="2762250"/>
            <wp:effectExtent l="0" t="0" r="0" b="0"/>
            <wp:wrapSquare wrapText="bothSides"/>
            <wp:docPr id="1"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表 1"/>
                    <pic:cNvPicPr>
                      <a:picLocks noChangeAspect="1" noChangeArrowheads="1"/>
                    </pic:cNvPicPr>
                  </pic:nvPicPr>
                  <pic:blipFill>
                    <a:blip r:embed="rId8"/>
                    <a:srcRect l="-8" t="-13" r="-8" b="-13"/>
                    <a:stretch>
                      <a:fillRect/>
                    </a:stretch>
                  </pic:blipFill>
                  <pic:spPr>
                    <a:xfrm>
                      <a:off x="0" y="0"/>
                      <a:ext cx="4591050" cy="2762250"/>
                    </a:xfrm>
                    <a:prstGeom prst="rect">
                      <a:avLst/>
                    </a:prstGeom>
                  </pic:spPr>
                </pic:pic>
              </a:graphicData>
            </a:graphic>
          </wp:anchor>
        </w:drawing>
      </w:r>
    </w:p>
    <w:p>
      <w:pPr>
        <w:spacing w:line="600" w:lineRule="exact"/>
        <w:jc w:val="left"/>
        <w:rPr>
          <w:rFonts w:ascii="仿宋_GB2312;仿宋" w:hAnsi="仿宋_GB2312;仿宋" w:eastAsia="仿宋_GB2312;仿宋"/>
          <w:color w:val="000000"/>
          <w:sz w:val="32"/>
          <w:szCs w:val="32"/>
        </w:rPr>
      </w:pPr>
    </w:p>
    <w:p>
      <w:pPr>
        <w:spacing w:line="600" w:lineRule="exact"/>
        <w:jc w:val="left"/>
        <w:rPr>
          <w:rFonts w:ascii="仿宋_GB2312;仿宋" w:hAnsi="仿宋_GB2312;仿宋" w:eastAsia="仿宋_GB2312;仿宋"/>
          <w:color w:val="000000"/>
          <w:sz w:val="32"/>
          <w:szCs w:val="32"/>
        </w:rPr>
      </w:pPr>
    </w:p>
    <w:p>
      <w:pPr>
        <w:spacing w:line="600" w:lineRule="exact"/>
        <w:jc w:val="left"/>
        <w:rPr>
          <w:rFonts w:ascii="仿宋_GB2312;仿宋" w:hAnsi="仿宋_GB2312;仿宋" w:eastAsia="仿宋_GB2312;仿宋"/>
          <w:color w:val="000000"/>
          <w:sz w:val="32"/>
          <w:szCs w:val="32"/>
        </w:rPr>
      </w:pPr>
    </w:p>
    <w:p>
      <w:pPr>
        <w:spacing w:line="600" w:lineRule="exact"/>
        <w:jc w:val="left"/>
        <w:rPr>
          <w:rFonts w:ascii="仿宋_GB2312;仿宋" w:hAnsi="仿宋_GB2312;仿宋" w:eastAsia="仿宋_GB2312;仿宋"/>
          <w:color w:val="000000"/>
          <w:sz w:val="32"/>
          <w:szCs w:val="32"/>
        </w:rPr>
      </w:pPr>
    </w:p>
    <w:p>
      <w:pPr>
        <w:spacing w:line="600" w:lineRule="exact"/>
        <w:jc w:val="left"/>
        <w:rPr>
          <w:rFonts w:ascii="仿宋_GB2312;仿宋" w:hAnsi="仿宋_GB2312;仿宋" w:eastAsia="仿宋_GB2312;仿宋"/>
          <w:color w:val="000000"/>
          <w:sz w:val="32"/>
          <w:szCs w:val="32"/>
        </w:rPr>
      </w:pPr>
    </w:p>
    <w:p>
      <w:pPr>
        <w:spacing w:line="600" w:lineRule="exact"/>
        <w:jc w:val="left"/>
        <w:rPr>
          <w:rFonts w:ascii="仿宋_GB2312;仿宋" w:hAnsi="仿宋_GB2312;仿宋" w:eastAsia="仿宋_GB2312;仿宋"/>
          <w:color w:val="000000"/>
          <w:sz w:val="32"/>
          <w:szCs w:val="32"/>
        </w:rPr>
      </w:pPr>
    </w:p>
    <w:p>
      <w:pPr>
        <w:spacing w:line="600" w:lineRule="exact"/>
        <w:jc w:val="left"/>
        <w:rPr>
          <w:rFonts w:ascii="仿宋_GB2312;仿宋" w:hAnsi="仿宋_GB2312;仿宋" w:eastAsia="仿宋_GB2312;仿宋"/>
          <w:color w:val="000000"/>
          <w:sz w:val="32"/>
          <w:szCs w:val="32"/>
        </w:rPr>
      </w:pPr>
    </w:p>
    <w:p>
      <w:pPr>
        <w:spacing w:line="600" w:lineRule="exact"/>
        <w:jc w:val="left"/>
        <w:rPr>
          <w:rFonts w:ascii="仿宋_GB2312;仿宋" w:hAnsi="仿宋_GB2312;仿宋" w:eastAsia="仿宋_GB2312;仿宋"/>
          <w:color w:val="000000"/>
          <w:sz w:val="32"/>
          <w:szCs w:val="32"/>
        </w:rPr>
      </w:pPr>
    </w:p>
    <w:p>
      <w:pPr>
        <w:pStyle w:val="17"/>
        <w:numPr>
          <w:ilvl w:val="0"/>
          <w:numId w:val="2"/>
        </w:numPr>
        <w:spacing w:line="600" w:lineRule="exact"/>
        <w:outlineLvl w:val="1"/>
        <w:rPr>
          <w:rStyle w:val="13"/>
          <w:rFonts w:ascii="黑体" w:hAnsi="黑体" w:eastAsia="黑体" w:cs="黑体"/>
          <w:b w:val="0"/>
        </w:rPr>
      </w:pPr>
      <w:r>
        <w:rPr>
          <w:rFonts w:ascii="黑体" w:hAnsi="黑体" w:eastAsia="黑体" w:cs="黑体"/>
          <w:color w:val="000000"/>
          <w:sz w:val="32"/>
          <w:szCs w:val="32"/>
        </w:rPr>
        <w:t>收</w:t>
      </w:r>
      <w:r>
        <w:rPr>
          <w:rStyle w:val="13"/>
          <w:rFonts w:ascii="黑体" w:hAnsi="黑体" w:eastAsia="黑体" w:cs="黑体"/>
          <w:b w:val="0"/>
        </w:rPr>
        <w:t>入决算情况说明</w:t>
      </w:r>
    </w:p>
    <w:p>
      <w:pPr>
        <w:numPr>
          <w:ilvl w:val="0"/>
          <w:numId w:val="0"/>
        </w:numPr>
        <w:spacing w:line="600" w:lineRule="exact"/>
        <w:outlineLvl w:val="1"/>
        <w:rPr>
          <w:rFonts w:ascii="仿宋" w:hAnsi="仿宋" w:eastAsia="仿宋" w:cs="仿宋"/>
          <w:color w:val="000000"/>
          <w:sz w:val="32"/>
          <w:szCs w:val="32"/>
        </w:rPr>
      </w:pPr>
      <w:r>
        <w:rPr>
          <w:rFonts w:ascii="仿宋" w:hAnsi="仿宋" w:eastAsia="仿宋" w:cs="仿宋"/>
          <w:color w:val="000000"/>
          <w:sz w:val="32"/>
          <w:szCs w:val="32"/>
        </w:rPr>
        <w:t>2020年本年收入合计</w:t>
      </w:r>
      <w:r>
        <w:rPr>
          <w:rFonts w:ascii="仿宋" w:hAnsi="仿宋" w:eastAsia="仿宋" w:cs="仿宋"/>
          <w:color w:val="000000"/>
          <w:sz w:val="32"/>
          <w:szCs w:val="32"/>
          <w:lang w:val="en-US" w:eastAsia="zh-CN"/>
        </w:rPr>
        <w:t>2848.45</w:t>
      </w:r>
      <w:r>
        <w:rPr>
          <w:rFonts w:ascii="仿宋" w:hAnsi="仿宋" w:eastAsia="仿宋" w:cs="仿宋"/>
          <w:color w:val="000000"/>
          <w:sz w:val="32"/>
          <w:szCs w:val="32"/>
        </w:rPr>
        <w:t>万元，其中：一般公共预算财政拨款收入</w:t>
      </w:r>
      <w:r>
        <w:rPr>
          <w:rFonts w:ascii="仿宋" w:hAnsi="仿宋" w:eastAsia="仿宋" w:cs="仿宋"/>
          <w:color w:val="000000"/>
          <w:sz w:val="32"/>
          <w:szCs w:val="32"/>
          <w:lang w:val="en-US" w:eastAsia="zh-CN"/>
        </w:rPr>
        <w:t>326.77</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11</w:t>
      </w:r>
      <w:r>
        <w:rPr>
          <w:rFonts w:ascii="仿宋" w:hAnsi="仿宋" w:eastAsia="仿宋" w:cs="仿宋"/>
          <w:color w:val="000000"/>
          <w:sz w:val="32"/>
          <w:szCs w:val="32"/>
        </w:rPr>
        <w:t>%；政府性基金预算财政拨款收入</w:t>
      </w:r>
      <w:r>
        <w:rPr>
          <w:rFonts w:ascii="仿宋" w:hAnsi="仿宋" w:eastAsia="仿宋" w:cs="仿宋"/>
          <w:color w:val="000000"/>
          <w:sz w:val="32"/>
          <w:szCs w:val="32"/>
          <w:lang w:val="en-US" w:eastAsia="zh-CN"/>
        </w:rPr>
        <w:t>2521.68</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89</w:t>
      </w:r>
      <w:r>
        <w:rPr>
          <w:rFonts w:ascii="仿宋" w:hAnsi="仿宋" w:eastAsia="仿宋" w:cs="仿宋"/>
          <w:color w:val="000000"/>
          <w:sz w:val="32"/>
          <w:szCs w:val="32"/>
        </w:rPr>
        <w:t>%；上级补助收入</w:t>
      </w:r>
      <w:r>
        <w:rPr>
          <w:rFonts w:ascii="仿宋" w:hAnsi="仿宋" w:eastAsia="仿宋" w:cs="仿宋"/>
          <w:color w:val="000000"/>
          <w:sz w:val="32"/>
          <w:szCs w:val="32"/>
          <w:lang w:val="en-US" w:eastAsia="zh-CN"/>
        </w:rPr>
        <w:t>0</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0</w:t>
      </w:r>
      <w:r>
        <w:rPr>
          <w:rFonts w:ascii="仿宋" w:hAnsi="仿宋" w:eastAsia="仿宋" w:cs="仿宋"/>
          <w:color w:val="000000"/>
          <w:sz w:val="32"/>
          <w:szCs w:val="32"/>
        </w:rPr>
        <w:t>%；事业收入</w:t>
      </w:r>
      <w:r>
        <w:rPr>
          <w:rFonts w:ascii="仿宋" w:hAnsi="仿宋" w:eastAsia="仿宋" w:cs="仿宋"/>
          <w:color w:val="000000"/>
          <w:sz w:val="32"/>
          <w:szCs w:val="32"/>
          <w:lang w:val="en-US" w:eastAsia="zh-CN"/>
        </w:rPr>
        <w:t>0</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0</w:t>
      </w:r>
      <w:r>
        <w:rPr>
          <w:rFonts w:ascii="仿宋" w:hAnsi="仿宋" w:eastAsia="仿宋" w:cs="仿宋"/>
          <w:color w:val="000000"/>
          <w:sz w:val="32"/>
          <w:szCs w:val="32"/>
        </w:rPr>
        <w:t>%；经营收入</w:t>
      </w:r>
      <w:r>
        <w:rPr>
          <w:rFonts w:ascii="仿宋" w:hAnsi="仿宋" w:eastAsia="仿宋" w:cs="仿宋"/>
          <w:color w:val="000000"/>
          <w:sz w:val="32"/>
          <w:szCs w:val="32"/>
          <w:lang w:val="en-US" w:eastAsia="zh-CN"/>
        </w:rPr>
        <w:t>0</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0</w:t>
      </w:r>
      <w:r>
        <w:rPr>
          <w:rFonts w:ascii="仿宋" w:hAnsi="仿宋" w:eastAsia="仿宋" w:cs="仿宋"/>
          <w:color w:val="000000"/>
          <w:sz w:val="32"/>
          <w:szCs w:val="32"/>
        </w:rPr>
        <w:t>%；附属单位上缴收入</w:t>
      </w:r>
      <w:r>
        <w:rPr>
          <w:rFonts w:ascii="仿宋" w:hAnsi="仿宋" w:eastAsia="仿宋" w:cs="仿宋"/>
          <w:color w:val="000000"/>
          <w:sz w:val="32"/>
          <w:szCs w:val="32"/>
          <w:lang w:val="en-US" w:eastAsia="zh-CN"/>
        </w:rPr>
        <w:t>0</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0</w:t>
      </w:r>
      <w:r>
        <w:rPr>
          <w:rFonts w:ascii="仿宋" w:hAnsi="仿宋" w:eastAsia="仿宋" w:cs="仿宋"/>
          <w:color w:val="000000"/>
          <w:sz w:val="32"/>
          <w:szCs w:val="32"/>
        </w:rPr>
        <w:t>%；其他收入</w:t>
      </w:r>
      <w:r>
        <w:rPr>
          <w:rFonts w:ascii="仿宋" w:hAnsi="仿宋" w:eastAsia="仿宋" w:cs="仿宋"/>
          <w:color w:val="000000"/>
          <w:sz w:val="32"/>
          <w:szCs w:val="32"/>
          <w:lang w:val="en-US" w:eastAsia="zh-CN"/>
        </w:rPr>
        <w:t>0</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0</w:t>
      </w:r>
      <w:r>
        <w:rPr>
          <w:rFonts w:ascii="仿宋" w:hAnsi="仿宋" w:eastAsia="仿宋" w:cs="仿宋"/>
          <w:color w:val="000000"/>
          <w:sz w:val="32"/>
          <w:szCs w:val="32"/>
        </w:rPr>
        <w:t>%。</w:t>
      </w:r>
    </w:p>
    <w:p>
      <w:pPr>
        <w:spacing w:line="600" w:lineRule="exact"/>
        <w:rPr>
          <w:rFonts w:ascii="仿宋" w:hAnsi="仿宋" w:eastAsia="仿宋" w:cs="仿宋"/>
          <w:color w:val="000000"/>
          <w:sz w:val="32"/>
          <w:szCs w:val="32"/>
        </w:rPr>
      </w:pPr>
      <w:r>
        <w:drawing>
          <wp:anchor distT="0" distB="0" distL="114935" distR="114935" simplePos="0" relativeHeight="251659264" behindDoc="0" locked="0" layoutInCell="0" allowOverlap="1">
            <wp:simplePos x="0" y="0"/>
            <wp:positionH relativeFrom="column">
              <wp:posOffset>66675</wp:posOffset>
            </wp:positionH>
            <wp:positionV relativeFrom="page">
              <wp:posOffset>419100</wp:posOffset>
            </wp:positionV>
            <wp:extent cx="4591050" cy="2762250"/>
            <wp:effectExtent l="0" t="0" r="0" b="0"/>
            <wp:wrapSquare wrapText="bothSides"/>
            <wp:docPr id="2" name="图表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表 2"/>
                    <pic:cNvPicPr>
                      <a:picLocks noChangeAspect="1" noChangeArrowheads="1"/>
                    </pic:cNvPicPr>
                  </pic:nvPicPr>
                  <pic:blipFill>
                    <a:blip r:embed="rId9"/>
                    <a:srcRect l="-8" t="-13" r="-8" b="-13"/>
                    <a:stretch>
                      <a:fillRect/>
                    </a:stretch>
                  </pic:blipFill>
                  <pic:spPr>
                    <a:xfrm>
                      <a:off x="0" y="0"/>
                      <a:ext cx="4591050" cy="2762250"/>
                    </a:xfrm>
                    <a:prstGeom prst="rect">
                      <a:avLst/>
                    </a:prstGeom>
                  </pic:spPr>
                </pic:pic>
              </a:graphicData>
            </a:graphic>
          </wp:anchor>
        </w:drawing>
      </w:r>
      <w:r>
        <w:rPr>
          <w:rFonts w:ascii="仿宋" w:hAnsi="仿宋" w:eastAsia="仿宋" w:cs="仿宋"/>
          <w:color w:val="000000"/>
          <w:sz w:val="32"/>
          <w:szCs w:val="32"/>
        </w:rPr>
        <w:t>（图2：收入决算结构图）（饼状图）</w:t>
      </w: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_GB2312;仿宋" w:hAnsi="仿宋_GB2312;仿宋" w:eastAsia="仿宋_GB2312;仿宋" w:cs="仿宋"/>
          <w:color w:val="FF0000"/>
          <w:sz w:val="32"/>
          <w:szCs w:val="32"/>
        </w:rPr>
      </w:pPr>
    </w:p>
    <w:p>
      <w:pPr>
        <w:pStyle w:val="17"/>
        <w:numPr>
          <w:ilvl w:val="0"/>
          <w:numId w:val="2"/>
        </w:numPr>
        <w:spacing w:line="600" w:lineRule="exact"/>
        <w:outlineLvl w:val="1"/>
        <w:rPr>
          <w:rStyle w:val="13"/>
          <w:rFonts w:ascii="黑体" w:hAnsi="黑体" w:eastAsia="黑体" w:cs="黑体"/>
          <w:b w:val="0"/>
        </w:rPr>
      </w:pPr>
      <w:r>
        <w:rPr>
          <w:rFonts w:ascii="黑体" w:hAnsi="黑体" w:eastAsia="黑体" w:cs="黑体"/>
          <w:color w:val="000000"/>
          <w:sz w:val="32"/>
          <w:szCs w:val="32"/>
        </w:rPr>
        <w:t>支</w:t>
      </w:r>
      <w:r>
        <w:rPr>
          <w:rStyle w:val="13"/>
          <w:rFonts w:ascii="黑体" w:hAnsi="黑体" w:eastAsia="黑体" w:cs="黑体"/>
          <w:b w:val="0"/>
        </w:rPr>
        <w:t>出决算情况说明</w:t>
      </w:r>
    </w:p>
    <w:p>
      <w:pPr>
        <w:numPr>
          <w:ilvl w:val="0"/>
          <w:numId w:val="0"/>
        </w:numPr>
        <w:spacing w:line="600" w:lineRule="exact"/>
        <w:outlineLvl w:val="1"/>
        <w:rPr>
          <w:rFonts w:ascii="仿宋" w:hAnsi="仿宋" w:eastAsia="仿宋" w:cs="仿宋"/>
          <w:color w:val="000000"/>
          <w:sz w:val="32"/>
          <w:szCs w:val="32"/>
        </w:rPr>
      </w:pPr>
      <w:r>
        <w:rPr>
          <w:rFonts w:ascii="仿宋" w:hAnsi="仿宋" w:eastAsia="仿宋" w:cs="仿宋"/>
          <w:color w:val="000000"/>
          <w:sz w:val="32"/>
          <w:szCs w:val="32"/>
        </w:rPr>
        <w:t>2020年本年支出合计</w:t>
      </w:r>
      <w:r>
        <w:rPr>
          <w:rFonts w:ascii="仿宋" w:hAnsi="仿宋" w:eastAsia="仿宋" w:cs="仿宋"/>
          <w:color w:val="000000"/>
          <w:sz w:val="32"/>
          <w:szCs w:val="32"/>
          <w:lang w:val="en-US" w:eastAsia="zh-CN"/>
        </w:rPr>
        <w:t>2730.95</w:t>
      </w:r>
      <w:r>
        <w:rPr>
          <w:rFonts w:ascii="仿宋" w:hAnsi="仿宋" w:eastAsia="仿宋" w:cs="仿宋"/>
          <w:color w:val="000000"/>
          <w:sz w:val="32"/>
          <w:szCs w:val="32"/>
        </w:rPr>
        <w:t>万元，其中：基本支出</w:t>
      </w:r>
      <w:r>
        <w:rPr>
          <w:rFonts w:ascii="仿宋" w:hAnsi="仿宋" w:eastAsia="仿宋" w:cs="仿宋"/>
          <w:color w:val="000000"/>
          <w:sz w:val="32"/>
          <w:szCs w:val="32"/>
          <w:lang w:val="en-US" w:eastAsia="zh-CN"/>
        </w:rPr>
        <w:t>274.36</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10</w:t>
      </w:r>
      <w:r>
        <w:rPr>
          <w:rFonts w:ascii="仿宋" w:hAnsi="仿宋" w:eastAsia="仿宋" w:cs="仿宋"/>
          <w:color w:val="000000"/>
          <w:sz w:val="32"/>
          <w:szCs w:val="32"/>
        </w:rPr>
        <w:t>%；项目支出</w:t>
      </w:r>
      <w:r>
        <w:rPr>
          <w:rFonts w:ascii="仿宋" w:hAnsi="仿宋" w:eastAsia="仿宋" w:cs="仿宋"/>
          <w:color w:val="000000"/>
          <w:sz w:val="32"/>
          <w:szCs w:val="32"/>
          <w:lang w:val="en-US" w:eastAsia="zh-CN"/>
        </w:rPr>
        <w:t>2456.59</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90</w:t>
      </w:r>
      <w:r>
        <w:rPr>
          <w:rFonts w:ascii="仿宋" w:hAnsi="仿宋" w:eastAsia="仿宋" w:cs="仿宋"/>
          <w:color w:val="000000"/>
          <w:sz w:val="32"/>
          <w:szCs w:val="32"/>
        </w:rPr>
        <w:t>%；上缴上级支出</w:t>
      </w:r>
      <w:r>
        <w:rPr>
          <w:rFonts w:ascii="仿宋" w:hAnsi="仿宋" w:eastAsia="仿宋" w:cs="仿宋"/>
          <w:color w:val="000000"/>
          <w:sz w:val="32"/>
          <w:szCs w:val="32"/>
          <w:lang w:val="en-US" w:eastAsia="zh-CN"/>
        </w:rPr>
        <w:t>0</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0</w:t>
      </w:r>
      <w:r>
        <w:rPr>
          <w:rFonts w:ascii="仿宋" w:hAnsi="仿宋" w:eastAsia="仿宋" w:cs="仿宋"/>
          <w:color w:val="000000"/>
          <w:sz w:val="32"/>
          <w:szCs w:val="32"/>
        </w:rPr>
        <w:t>%；经营支出</w:t>
      </w:r>
      <w:r>
        <w:rPr>
          <w:rFonts w:ascii="仿宋" w:hAnsi="仿宋" w:eastAsia="仿宋" w:cs="仿宋"/>
          <w:color w:val="000000"/>
          <w:sz w:val="32"/>
          <w:szCs w:val="32"/>
          <w:lang w:val="en-US" w:eastAsia="zh-CN"/>
        </w:rPr>
        <w:t>0</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0</w:t>
      </w:r>
      <w:r>
        <w:rPr>
          <w:rFonts w:ascii="仿宋" w:hAnsi="仿宋" w:eastAsia="仿宋" w:cs="仿宋"/>
          <w:color w:val="000000"/>
          <w:sz w:val="32"/>
          <w:szCs w:val="32"/>
        </w:rPr>
        <w:t>%；对附属单位补助支出</w:t>
      </w:r>
      <w:r>
        <w:rPr>
          <w:rFonts w:ascii="仿宋" w:hAnsi="仿宋" w:eastAsia="仿宋" w:cs="仿宋"/>
          <w:color w:val="000000"/>
          <w:sz w:val="32"/>
          <w:szCs w:val="32"/>
          <w:lang w:val="en-US" w:eastAsia="zh-CN"/>
        </w:rPr>
        <w:t>0</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0</w:t>
      </w:r>
      <w:r>
        <w:rPr>
          <w:rFonts w:ascii="仿宋" w:hAnsi="仿宋" w:eastAsia="仿宋" w:cs="仿宋"/>
          <w:color w:val="000000"/>
          <w:sz w:val="32"/>
          <w:szCs w:val="32"/>
        </w:rPr>
        <w:t>%。</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t>（图3：支出决算结构图）（饼状图）</w:t>
      </w:r>
    </w:p>
    <w:p>
      <w:pPr>
        <w:spacing w:line="600" w:lineRule="exact"/>
        <w:rPr>
          <w:rFonts w:ascii="仿宋_GB2312;仿宋" w:hAnsi="仿宋_GB2312;仿宋" w:eastAsia="仿宋_GB2312;仿宋" w:cs="仿宋"/>
          <w:color w:val="FF0000"/>
          <w:sz w:val="32"/>
          <w:szCs w:val="32"/>
        </w:rPr>
      </w:pPr>
      <w:r>
        <w:rPr>
          <w:rFonts w:ascii="仿宋_GB2312;仿宋" w:hAnsi="仿宋_GB2312;仿宋" w:eastAsia="仿宋_GB2312;仿宋" w:cs="仿宋"/>
          <w:color w:val="FF0000"/>
          <w:sz w:val="32"/>
          <w:szCs w:val="32"/>
        </w:rPr>
        <w:drawing>
          <wp:anchor distT="0" distB="0" distL="114935" distR="114935" simplePos="0" relativeHeight="251659264" behindDoc="0" locked="0" layoutInCell="0" allowOverlap="1">
            <wp:simplePos x="0" y="0"/>
            <wp:positionH relativeFrom="column">
              <wp:posOffset>152400</wp:posOffset>
            </wp:positionH>
            <wp:positionV relativeFrom="paragraph">
              <wp:posOffset>200025</wp:posOffset>
            </wp:positionV>
            <wp:extent cx="4591050" cy="2762250"/>
            <wp:effectExtent l="0" t="0" r="0" b="0"/>
            <wp:wrapSquare wrapText="bothSides"/>
            <wp:docPr id="3" name="图表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表 4"/>
                    <pic:cNvPicPr>
                      <a:picLocks noChangeAspect="1" noChangeArrowheads="1"/>
                    </pic:cNvPicPr>
                  </pic:nvPicPr>
                  <pic:blipFill>
                    <a:blip r:embed="rId10"/>
                    <a:srcRect l="-8" t="-13" r="-8" b="-13"/>
                    <a:stretch>
                      <a:fillRect/>
                    </a:stretch>
                  </pic:blipFill>
                  <pic:spPr>
                    <a:xfrm>
                      <a:off x="0" y="0"/>
                      <a:ext cx="4591050" cy="2762250"/>
                    </a:xfrm>
                    <a:prstGeom prst="rect">
                      <a:avLst/>
                    </a:prstGeom>
                  </pic:spPr>
                </pic:pic>
              </a:graphicData>
            </a:graphic>
          </wp:anchor>
        </w:drawing>
      </w:r>
    </w:p>
    <w:p>
      <w:pPr>
        <w:spacing w:line="600" w:lineRule="exact"/>
        <w:rPr>
          <w:rFonts w:ascii="仿宋_GB2312;仿宋" w:hAnsi="仿宋_GB2312;仿宋" w:eastAsia="仿宋_GB2312;仿宋"/>
          <w:color w:val="FF0000"/>
          <w:sz w:val="32"/>
          <w:szCs w:val="32"/>
        </w:rPr>
      </w:pPr>
    </w:p>
    <w:p>
      <w:pPr>
        <w:spacing w:line="600" w:lineRule="exact"/>
        <w:rPr>
          <w:rFonts w:ascii="仿宋_GB2312;仿宋" w:hAnsi="仿宋_GB2312;仿宋" w:eastAsia="仿宋_GB2312;仿宋"/>
          <w:color w:val="FF0000"/>
          <w:sz w:val="32"/>
          <w:szCs w:val="32"/>
        </w:rPr>
      </w:pPr>
    </w:p>
    <w:p>
      <w:pPr>
        <w:spacing w:line="600" w:lineRule="exact"/>
        <w:rPr>
          <w:rFonts w:ascii="仿宋_GB2312;仿宋" w:hAnsi="仿宋_GB2312;仿宋" w:eastAsia="仿宋_GB2312;仿宋"/>
          <w:color w:val="FF0000"/>
          <w:sz w:val="32"/>
          <w:szCs w:val="32"/>
        </w:rPr>
      </w:pPr>
    </w:p>
    <w:p>
      <w:pPr>
        <w:spacing w:line="600" w:lineRule="exact"/>
        <w:rPr>
          <w:rFonts w:ascii="仿宋_GB2312;仿宋" w:hAnsi="仿宋_GB2312;仿宋" w:eastAsia="仿宋_GB2312;仿宋"/>
          <w:color w:val="FF0000"/>
          <w:sz w:val="32"/>
          <w:szCs w:val="32"/>
        </w:rPr>
      </w:pPr>
    </w:p>
    <w:p>
      <w:pPr>
        <w:spacing w:line="600" w:lineRule="exact"/>
        <w:rPr>
          <w:rFonts w:ascii="仿宋_GB2312;仿宋" w:hAnsi="仿宋_GB2312;仿宋" w:eastAsia="仿宋_GB2312;仿宋"/>
          <w:color w:val="FF0000"/>
          <w:sz w:val="32"/>
          <w:szCs w:val="32"/>
        </w:rPr>
      </w:pPr>
    </w:p>
    <w:p>
      <w:pPr>
        <w:spacing w:line="600" w:lineRule="exact"/>
        <w:rPr>
          <w:rFonts w:ascii="仿宋_GB2312;仿宋" w:hAnsi="仿宋_GB2312;仿宋" w:eastAsia="仿宋_GB2312;仿宋"/>
          <w:color w:val="FF0000"/>
          <w:sz w:val="32"/>
          <w:szCs w:val="32"/>
        </w:rPr>
      </w:pPr>
    </w:p>
    <w:p>
      <w:pPr>
        <w:spacing w:line="600" w:lineRule="exact"/>
        <w:rPr>
          <w:rFonts w:ascii="仿宋_GB2312;仿宋" w:hAnsi="仿宋_GB2312;仿宋" w:eastAsia="仿宋_GB2312;仿宋"/>
          <w:color w:val="FF0000"/>
          <w:sz w:val="32"/>
          <w:szCs w:val="32"/>
        </w:rPr>
      </w:pPr>
    </w:p>
    <w:p>
      <w:pPr>
        <w:numPr>
          <w:ilvl w:val="0"/>
          <w:numId w:val="0"/>
        </w:numPr>
        <w:spacing w:line="600" w:lineRule="exact"/>
        <w:outlineLvl w:val="1"/>
        <w:rPr>
          <w:rStyle w:val="13"/>
          <w:rFonts w:ascii="黑体" w:hAnsi="黑体" w:eastAsia="黑体" w:cs="黑体"/>
          <w:b w:val="0"/>
        </w:rPr>
      </w:pPr>
      <w:r>
        <w:rPr>
          <w:rFonts w:ascii="黑体" w:hAnsi="黑体" w:eastAsia="黑体" w:cs="黑体"/>
          <w:color w:val="000000"/>
          <w:sz w:val="32"/>
          <w:szCs w:val="32"/>
        </w:rPr>
        <w:t>四、财</w:t>
      </w:r>
      <w:r>
        <w:rPr>
          <w:rStyle w:val="13"/>
          <w:rFonts w:ascii="黑体" w:hAnsi="黑体" w:eastAsia="黑体" w:cs="黑体"/>
          <w:b w:val="0"/>
        </w:rPr>
        <w:t>政拨款收入支出决算总体情况说明</w:t>
      </w:r>
    </w:p>
    <w:p>
      <w:pPr>
        <w:spacing w:line="600" w:lineRule="exact"/>
        <w:rPr>
          <w:rFonts w:ascii="仿宋" w:hAnsi="仿宋" w:eastAsia="仿宋" w:cs="仿宋"/>
          <w:b/>
          <w:color w:val="FF0000"/>
          <w:sz w:val="32"/>
          <w:szCs w:val="32"/>
        </w:rPr>
      </w:pPr>
      <w:r>
        <w:rPr>
          <w:rFonts w:ascii="仿宋" w:hAnsi="仿宋" w:eastAsia="仿宋" w:cs="仿宋"/>
          <w:color w:val="000000"/>
          <w:sz w:val="32"/>
          <w:szCs w:val="32"/>
        </w:rPr>
        <w:t>2020年财政拨款收、支总计</w:t>
      </w:r>
      <w:r>
        <w:rPr>
          <w:rFonts w:ascii="仿宋" w:hAnsi="仿宋" w:eastAsia="仿宋" w:cs="仿宋"/>
          <w:color w:val="000000"/>
          <w:sz w:val="32"/>
          <w:szCs w:val="32"/>
          <w:lang w:val="en-US" w:eastAsia="zh-CN"/>
        </w:rPr>
        <w:t>3179.53</w:t>
      </w:r>
      <w:r>
        <w:rPr>
          <w:rFonts w:ascii="仿宋" w:hAnsi="仿宋" w:eastAsia="仿宋" w:cs="仿宋"/>
          <w:color w:val="000000"/>
          <w:sz w:val="32"/>
          <w:szCs w:val="32"/>
        </w:rPr>
        <w:t>万元。与2019年相比，财政拨款收、支总计各减少</w:t>
      </w:r>
      <w:r>
        <w:rPr>
          <w:rFonts w:ascii="仿宋" w:hAnsi="仿宋" w:eastAsia="仿宋" w:cs="仿宋"/>
          <w:color w:val="000000"/>
          <w:sz w:val="32"/>
          <w:szCs w:val="32"/>
          <w:lang w:val="en-US" w:eastAsia="zh-CN"/>
        </w:rPr>
        <w:t>124.3</w:t>
      </w:r>
      <w:r>
        <w:rPr>
          <w:rFonts w:ascii="仿宋" w:hAnsi="仿宋" w:eastAsia="仿宋" w:cs="仿宋"/>
          <w:color w:val="000000"/>
          <w:sz w:val="32"/>
          <w:szCs w:val="32"/>
        </w:rPr>
        <w:t>万元，下降</w:t>
      </w:r>
      <w:r>
        <w:rPr>
          <w:rFonts w:ascii="仿宋" w:hAnsi="仿宋" w:eastAsia="仿宋" w:cs="仿宋"/>
          <w:color w:val="000000"/>
          <w:sz w:val="32"/>
          <w:szCs w:val="32"/>
          <w:lang w:val="en-US" w:eastAsia="zh-CN"/>
        </w:rPr>
        <w:t>4</w:t>
      </w:r>
      <w:r>
        <w:rPr>
          <w:rFonts w:ascii="仿宋" w:hAnsi="仿宋" w:eastAsia="仿宋" w:cs="仿宋"/>
          <w:color w:val="000000"/>
          <w:sz w:val="32"/>
          <w:szCs w:val="32"/>
        </w:rPr>
        <w:t>%。主要变动原因是</w:t>
      </w:r>
      <w:r>
        <w:rPr>
          <w:rFonts w:ascii="仿宋" w:hAnsi="仿宋" w:eastAsia="仿宋" w:cs="仿宋"/>
          <w:color w:val="000000"/>
          <w:sz w:val="32"/>
          <w:szCs w:val="32"/>
          <w:lang w:eastAsia="zh-CN"/>
        </w:rPr>
        <w:t>千村示范工程进度款减少。</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t>（图4：财政拨款收、支决算总计变动情况）（柱状图）</w:t>
      </w:r>
    </w:p>
    <w:p>
      <w:pPr>
        <w:spacing w:line="600" w:lineRule="exact"/>
        <w:rPr>
          <w:rFonts w:ascii="仿宋" w:hAnsi="仿宋" w:eastAsia="仿宋" w:cs="仿宋"/>
          <w:b/>
          <w:color w:val="00B050"/>
          <w:sz w:val="32"/>
          <w:szCs w:val="32"/>
        </w:rPr>
      </w:pPr>
      <w:r>
        <w:rPr>
          <w:rFonts w:ascii="仿宋" w:hAnsi="仿宋" w:eastAsia="仿宋" w:cs="仿宋"/>
          <w:b/>
          <w:color w:val="00B050"/>
          <w:sz w:val="32"/>
          <w:szCs w:val="32"/>
        </w:rPr>
        <w:drawing>
          <wp:anchor distT="0" distB="0" distL="114935" distR="114935" simplePos="0" relativeHeight="251659264" behindDoc="0" locked="0" layoutInCell="0" allowOverlap="1">
            <wp:simplePos x="0" y="0"/>
            <wp:positionH relativeFrom="column">
              <wp:posOffset>301625</wp:posOffset>
            </wp:positionH>
            <wp:positionV relativeFrom="paragraph">
              <wp:posOffset>190500</wp:posOffset>
            </wp:positionV>
            <wp:extent cx="4591050" cy="2762250"/>
            <wp:effectExtent l="0" t="0" r="0" b="0"/>
            <wp:wrapSquare wrapText="bothSides"/>
            <wp:docPr id="4" name="图表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表 5"/>
                    <pic:cNvPicPr>
                      <a:picLocks noChangeAspect="1" noChangeArrowheads="1"/>
                    </pic:cNvPicPr>
                  </pic:nvPicPr>
                  <pic:blipFill>
                    <a:blip r:embed="rId11"/>
                    <a:srcRect l="-8" t="-13" r="-8" b="-13"/>
                    <a:stretch>
                      <a:fillRect/>
                    </a:stretch>
                  </pic:blipFill>
                  <pic:spPr>
                    <a:xfrm>
                      <a:off x="0" y="0"/>
                      <a:ext cx="4591050" cy="2762250"/>
                    </a:xfrm>
                    <a:prstGeom prst="rect">
                      <a:avLst/>
                    </a:prstGeom>
                  </pic:spPr>
                </pic:pic>
              </a:graphicData>
            </a:graphic>
          </wp:anchor>
        </w:drawing>
      </w:r>
    </w:p>
    <w:p>
      <w:pPr>
        <w:spacing w:line="600" w:lineRule="exact"/>
        <w:rPr>
          <w:rFonts w:ascii="仿宋" w:hAnsi="仿宋" w:eastAsia="仿宋" w:cs="仿宋"/>
          <w:b/>
          <w:color w:val="00B050"/>
          <w:sz w:val="32"/>
          <w:szCs w:val="32"/>
        </w:rPr>
      </w:pPr>
    </w:p>
    <w:p>
      <w:pPr>
        <w:spacing w:line="600" w:lineRule="exact"/>
        <w:rPr>
          <w:rFonts w:ascii="仿宋" w:hAnsi="仿宋" w:eastAsia="仿宋" w:cs="仿宋"/>
          <w:b/>
          <w:color w:val="00B050"/>
          <w:sz w:val="32"/>
          <w:szCs w:val="32"/>
        </w:rPr>
      </w:pPr>
    </w:p>
    <w:p>
      <w:pPr>
        <w:spacing w:line="600" w:lineRule="exact"/>
        <w:rPr>
          <w:rFonts w:ascii="仿宋" w:hAnsi="仿宋" w:eastAsia="仿宋" w:cs="仿宋"/>
          <w:b/>
          <w:color w:val="00B050"/>
          <w:sz w:val="32"/>
          <w:szCs w:val="32"/>
        </w:rPr>
      </w:pPr>
    </w:p>
    <w:p>
      <w:pPr>
        <w:spacing w:line="600" w:lineRule="exact"/>
        <w:rPr>
          <w:rFonts w:ascii="仿宋" w:hAnsi="仿宋" w:eastAsia="仿宋" w:cs="仿宋"/>
          <w:b/>
          <w:color w:val="00B050"/>
          <w:sz w:val="32"/>
          <w:szCs w:val="32"/>
        </w:rPr>
      </w:pPr>
    </w:p>
    <w:p>
      <w:pPr>
        <w:numPr>
          <w:ilvl w:val="0"/>
          <w:numId w:val="0"/>
        </w:numPr>
        <w:spacing w:line="600" w:lineRule="exact"/>
        <w:outlineLvl w:val="1"/>
        <w:rPr>
          <w:rFonts w:ascii="黑体" w:hAnsi="黑体" w:eastAsia="黑体" w:cs="黑体"/>
          <w:b/>
          <w:color w:val="000000"/>
          <w:sz w:val="32"/>
          <w:szCs w:val="32"/>
        </w:rPr>
      </w:pPr>
    </w:p>
    <w:p>
      <w:pPr>
        <w:numPr>
          <w:ilvl w:val="0"/>
          <w:numId w:val="0"/>
        </w:numPr>
        <w:spacing w:line="600" w:lineRule="exact"/>
        <w:outlineLvl w:val="1"/>
        <w:rPr>
          <w:rFonts w:ascii="黑体" w:hAnsi="黑体" w:eastAsia="黑体" w:cs="黑体"/>
          <w:color w:val="000000"/>
          <w:sz w:val="32"/>
          <w:szCs w:val="32"/>
        </w:rPr>
      </w:pPr>
    </w:p>
    <w:p>
      <w:pPr>
        <w:numPr>
          <w:ilvl w:val="0"/>
          <w:numId w:val="0"/>
        </w:numPr>
        <w:spacing w:line="600" w:lineRule="exact"/>
        <w:outlineLvl w:val="1"/>
        <w:rPr>
          <w:rFonts w:ascii="黑体" w:hAnsi="黑体" w:eastAsia="黑体" w:cs="黑体"/>
          <w:color w:val="000000"/>
          <w:sz w:val="32"/>
          <w:szCs w:val="32"/>
        </w:rPr>
      </w:pPr>
    </w:p>
    <w:p>
      <w:pPr>
        <w:numPr>
          <w:ilvl w:val="0"/>
          <w:numId w:val="0"/>
        </w:numPr>
        <w:spacing w:line="600" w:lineRule="exact"/>
        <w:outlineLvl w:val="1"/>
        <w:rPr>
          <w:rStyle w:val="13"/>
          <w:rFonts w:ascii="黑体" w:hAnsi="黑体" w:eastAsia="黑体" w:cs="黑体"/>
          <w:b w:val="0"/>
        </w:rPr>
      </w:pPr>
      <w:r>
        <w:rPr>
          <w:rFonts w:ascii="黑体" w:hAnsi="黑体" w:eastAsia="黑体" w:cs="黑体"/>
          <w:color w:val="000000"/>
          <w:sz w:val="32"/>
          <w:szCs w:val="32"/>
        </w:rPr>
        <w:t>五、</w:t>
      </w:r>
      <w:r>
        <w:rPr>
          <w:rFonts w:ascii="黑体" w:hAnsi="黑体" w:eastAsia="黑体" w:cs="黑体"/>
          <w:b/>
          <w:color w:val="000000"/>
          <w:sz w:val="32"/>
          <w:szCs w:val="32"/>
        </w:rPr>
        <w:t>一</w:t>
      </w:r>
      <w:r>
        <w:rPr>
          <w:rStyle w:val="13"/>
          <w:rFonts w:ascii="黑体" w:hAnsi="黑体" w:eastAsia="黑体" w:cs="黑体"/>
          <w:b w:val="0"/>
        </w:rPr>
        <w:t>般公共预算财政拨款支出决算情况说明</w:t>
      </w:r>
    </w:p>
    <w:p>
      <w:pPr>
        <w:numPr>
          <w:ilvl w:val="0"/>
          <w:numId w:val="0"/>
        </w:numPr>
        <w:spacing w:line="600" w:lineRule="exact"/>
        <w:outlineLvl w:val="2"/>
        <w:rPr>
          <w:rFonts w:ascii="仿宋" w:hAnsi="仿宋" w:eastAsia="仿宋" w:cs="仿宋"/>
          <w:b/>
          <w:color w:val="000000"/>
          <w:sz w:val="32"/>
          <w:szCs w:val="32"/>
        </w:rPr>
      </w:pPr>
      <w:r>
        <w:rPr>
          <w:rFonts w:ascii="仿宋" w:hAnsi="仿宋" w:eastAsia="仿宋" w:cs="仿宋"/>
          <w:b/>
          <w:color w:val="000000"/>
          <w:sz w:val="32"/>
          <w:szCs w:val="32"/>
        </w:rPr>
        <w:t>（一）一般公共预算财政拨款支出决算总体情况</w:t>
      </w:r>
    </w:p>
    <w:p>
      <w:pPr>
        <w:spacing w:line="600" w:lineRule="exact"/>
        <w:jc w:val="left"/>
        <w:rPr>
          <w:rFonts w:ascii="仿宋" w:hAnsi="仿宋" w:eastAsia="仿宋" w:cs="仿宋"/>
          <w:color w:val="000000"/>
          <w:sz w:val="32"/>
          <w:szCs w:val="32"/>
        </w:rPr>
      </w:pPr>
      <w:r>
        <w:rPr>
          <w:rFonts w:ascii="仿宋" w:hAnsi="仿宋" w:eastAsia="仿宋" w:cs="仿宋"/>
          <w:color w:val="000000"/>
          <w:sz w:val="32"/>
          <w:szCs w:val="32"/>
        </w:rPr>
        <w:t>2020年一般公共预算财政拨款支出</w:t>
      </w:r>
      <w:r>
        <w:rPr>
          <w:rFonts w:ascii="仿宋" w:hAnsi="仿宋" w:eastAsia="仿宋" w:cs="仿宋"/>
          <w:color w:val="000000"/>
          <w:sz w:val="32"/>
          <w:szCs w:val="32"/>
          <w:lang w:val="en-US" w:eastAsia="zh-CN"/>
        </w:rPr>
        <w:t>428.53</w:t>
      </w:r>
      <w:r>
        <w:rPr>
          <w:rFonts w:ascii="仿宋" w:hAnsi="仿宋" w:eastAsia="仿宋" w:cs="仿宋"/>
          <w:color w:val="000000"/>
          <w:sz w:val="32"/>
          <w:szCs w:val="32"/>
        </w:rPr>
        <w:t>万元，占本年支出合计的</w:t>
      </w:r>
      <w:r>
        <w:rPr>
          <w:rFonts w:ascii="仿宋" w:hAnsi="仿宋" w:eastAsia="仿宋" w:cs="仿宋"/>
          <w:color w:val="000000"/>
          <w:sz w:val="32"/>
          <w:szCs w:val="32"/>
          <w:lang w:val="en-US" w:eastAsia="zh-CN"/>
        </w:rPr>
        <w:t>16</w:t>
      </w:r>
      <w:r>
        <w:rPr>
          <w:rFonts w:ascii="仿宋" w:hAnsi="仿宋" w:eastAsia="仿宋" w:cs="仿宋"/>
          <w:color w:val="000000"/>
          <w:sz w:val="32"/>
          <w:szCs w:val="32"/>
        </w:rPr>
        <w:t>%。与2019年相比，一般公共预算财政拨款减少</w:t>
      </w:r>
      <w:r>
        <w:rPr>
          <w:rFonts w:ascii="仿宋" w:hAnsi="仿宋" w:eastAsia="仿宋" w:cs="仿宋"/>
          <w:color w:val="000000"/>
          <w:sz w:val="32"/>
          <w:szCs w:val="32"/>
          <w:lang w:val="en-US" w:eastAsia="zh-CN"/>
        </w:rPr>
        <w:t>1420.33</w:t>
      </w:r>
      <w:r>
        <w:rPr>
          <w:rFonts w:ascii="仿宋" w:hAnsi="仿宋" w:eastAsia="仿宋" w:cs="仿宋"/>
          <w:color w:val="000000"/>
          <w:sz w:val="32"/>
          <w:szCs w:val="32"/>
        </w:rPr>
        <w:t>万元，下降</w:t>
      </w:r>
      <w:r>
        <w:rPr>
          <w:rFonts w:ascii="仿宋" w:hAnsi="仿宋" w:eastAsia="仿宋" w:cs="仿宋"/>
          <w:color w:val="000000"/>
          <w:sz w:val="32"/>
          <w:szCs w:val="32"/>
          <w:lang w:val="en-US" w:eastAsia="zh-CN"/>
        </w:rPr>
        <w:t>77</w:t>
      </w:r>
      <w:r>
        <w:rPr>
          <w:rFonts w:ascii="仿宋" w:hAnsi="仿宋" w:eastAsia="仿宋" w:cs="仿宋"/>
          <w:color w:val="000000"/>
          <w:sz w:val="32"/>
          <w:szCs w:val="32"/>
        </w:rPr>
        <w:t>%。主要变动原因是</w:t>
      </w:r>
      <w:r>
        <w:rPr>
          <w:rFonts w:ascii="仿宋" w:hAnsi="仿宋" w:eastAsia="仿宋" w:cs="仿宋"/>
          <w:color w:val="000000"/>
          <w:sz w:val="32"/>
          <w:szCs w:val="32"/>
          <w:lang w:eastAsia="zh-CN"/>
        </w:rPr>
        <w:t>项目支出减少。</w:t>
      </w:r>
      <w:r>
        <w:rPr>
          <w:rFonts w:ascii="仿宋" w:hAnsi="仿宋" w:eastAsia="仿宋" w:cs="仿宋"/>
          <w:color w:val="000000"/>
          <w:sz w:val="32"/>
          <w:szCs w:val="32"/>
          <w:lang w:val="en-US" w:eastAsia="zh-CN"/>
        </w:rPr>
        <w:t xml:space="preserve">                                              </w:t>
      </w:r>
      <w:r>
        <w:rPr>
          <w:rFonts w:ascii="仿宋" w:hAnsi="仿宋" w:eastAsia="仿宋" w:cs="仿宋"/>
          <w:color w:val="000000"/>
          <w:sz w:val="32"/>
          <w:szCs w:val="32"/>
        </w:rPr>
        <w:t>（图5：一般公共预算财政拨款支出决算变动情况）（柱状图）</w:t>
      </w: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r>
        <w:rPr>
          <w:rFonts w:ascii="仿宋" w:hAnsi="仿宋" w:eastAsia="仿宋" w:cs="仿宋"/>
          <w:color w:val="000000"/>
          <w:sz w:val="32"/>
          <w:szCs w:val="32"/>
        </w:rPr>
        <w:drawing>
          <wp:anchor distT="0" distB="0" distL="114935" distR="114935" simplePos="0" relativeHeight="251659264" behindDoc="0" locked="0" layoutInCell="0" allowOverlap="1">
            <wp:simplePos x="0" y="0"/>
            <wp:positionH relativeFrom="column">
              <wp:posOffset>219075</wp:posOffset>
            </wp:positionH>
            <wp:positionV relativeFrom="paragraph">
              <wp:posOffset>209550</wp:posOffset>
            </wp:positionV>
            <wp:extent cx="4371975" cy="2077085"/>
            <wp:effectExtent l="0" t="0" r="0" b="0"/>
            <wp:wrapSquare wrapText="bothSides"/>
            <wp:docPr id="5" name="图表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表 6"/>
                    <pic:cNvPicPr>
                      <a:picLocks noChangeAspect="1" noChangeArrowheads="1"/>
                    </pic:cNvPicPr>
                  </pic:nvPicPr>
                  <pic:blipFill>
                    <a:blip r:embed="rId12"/>
                    <a:srcRect l="-8" t="-13" r="-8" b="-13"/>
                    <a:stretch>
                      <a:fillRect/>
                    </a:stretch>
                  </pic:blipFill>
                  <pic:spPr>
                    <a:xfrm>
                      <a:off x="0" y="0"/>
                      <a:ext cx="4371975" cy="2077085"/>
                    </a:xfrm>
                    <a:prstGeom prst="rect">
                      <a:avLst/>
                    </a:prstGeom>
                  </pic:spPr>
                </pic:pic>
              </a:graphicData>
            </a:graphic>
          </wp:anchor>
        </w:drawing>
      </w: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numPr>
          <w:ilvl w:val="0"/>
          <w:numId w:val="0"/>
        </w:numPr>
        <w:spacing w:line="600" w:lineRule="exact"/>
        <w:outlineLvl w:val="2"/>
        <w:rPr>
          <w:rFonts w:ascii="仿宋" w:hAnsi="仿宋" w:eastAsia="仿宋" w:cs="仿宋"/>
          <w:b/>
          <w:color w:val="000000"/>
          <w:sz w:val="32"/>
          <w:szCs w:val="32"/>
        </w:rPr>
      </w:pPr>
    </w:p>
    <w:p>
      <w:pPr>
        <w:numPr>
          <w:ilvl w:val="0"/>
          <w:numId w:val="0"/>
        </w:numPr>
        <w:spacing w:line="600" w:lineRule="exact"/>
        <w:outlineLvl w:val="2"/>
        <w:rPr>
          <w:rFonts w:ascii="仿宋" w:hAnsi="仿宋" w:eastAsia="仿宋" w:cs="仿宋"/>
          <w:b/>
          <w:color w:val="000000"/>
          <w:sz w:val="32"/>
          <w:szCs w:val="32"/>
        </w:rPr>
      </w:pPr>
    </w:p>
    <w:p>
      <w:pPr>
        <w:numPr>
          <w:ilvl w:val="0"/>
          <w:numId w:val="0"/>
        </w:numPr>
        <w:spacing w:line="600" w:lineRule="exact"/>
        <w:outlineLvl w:val="2"/>
        <w:rPr>
          <w:rFonts w:ascii="仿宋" w:hAnsi="仿宋" w:eastAsia="仿宋" w:cs="仿宋"/>
          <w:b/>
          <w:color w:val="000000"/>
          <w:sz w:val="32"/>
          <w:szCs w:val="32"/>
        </w:rPr>
      </w:pPr>
    </w:p>
    <w:p>
      <w:pPr>
        <w:numPr>
          <w:ilvl w:val="0"/>
          <w:numId w:val="0"/>
        </w:numPr>
        <w:spacing w:line="600" w:lineRule="exact"/>
        <w:outlineLvl w:val="2"/>
        <w:rPr>
          <w:rFonts w:ascii="仿宋" w:hAnsi="仿宋" w:eastAsia="仿宋" w:cs="仿宋"/>
          <w:b/>
          <w:color w:val="000000"/>
          <w:sz w:val="32"/>
          <w:szCs w:val="32"/>
        </w:rPr>
      </w:pPr>
    </w:p>
    <w:p>
      <w:pPr>
        <w:numPr>
          <w:ilvl w:val="0"/>
          <w:numId w:val="0"/>
        </w:numPr>
        <w:spacing w:line="600" w:lineRule="exact"/>
        <w:outlineLvl w:val="2"/>
        <w:rPr>
          <w:rFonts w:ascii="仿宋" w:hAnsi="仿宋" w:eastAsia="仿宋" w:cs="仿宋"/>
          <w:b/>
          <w:color w:val="000000"/>
          <w:sz w:val="32"/>
          <w:szCs w:val="32"/>
        </w:rPr>
      </w:pPr>
      <w:r>
        <w:rPr>
          <w:rFonts w:ascii="仿宋" w:hAnsi="仿宋" w:eastAsia="仿宋" w:cs="仿宋"/>
          <w:b/>
          <w:color w:val="000000"/>
          <w:sz w:val="32"/>
          <w:szCs w:val="32"/>
        </w:rPr>
        <w:t>（二）一般公共预算财政拨款支出决算结构情况</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t>2020年一般公共预算财政拨款支出</w:t>
      </w:r>
      <w:r>
        <w:rPr>
          <w:rFonts w:ascii="仿宋" w:hAnsi="仿宋" w:eastAsia="仿宋" w:cs="仿宋"/>
          <w:color w:val="000000"/>
          <w:sz w:val="32"/>
          <w:szCs w:val="32"/>
          <w:lang w:val="en-US" w:eastAsia="zh-CN"/>
        </w:rPr>
        <w:t>428.53</w:t>
      </w:r>
      <w:r>
        <w:rPr>
          <w:rFonts w:ascii="仿宋" w:hAnsi="仿宋" w:eastAsia="仿宋" w:cs="仿宋"/>
          <w:color w:val="000000"/>
          <w:sz w:val="32"/>
          <w:szCs w:val="32"/>
        </w:rPr>
        <w:t>万元，主要用于以下方面:</w:t>
      </w:r>
      <w:r>
        <w:rPr>
          <w:rFonts w:ascii="仿宋" w:hAnsi="仿宋" w:eastAsia="仿宋" w:cs="仿宋"/>
          <w:b/>
          <w:color w:val="000000"/>
          <w:sz w:val="32"/>
          <w:szCs w:val="32"/>
        </w:rPr>
        <w:t>一般公共服务（类）</w:t>
      </w:r>
      <w:r>
        <w:rPr>
          <w:rFonts w:ascii="仿宋" w:hAnsi="仿宋" w:eastAsia="仿宋" w:cs="仿宋"/>
          <w:color w:val="000000"/>
          <w:sz w:val="32"/>
          <w:szCs w:val="32"/>
        </w:rPr>
        <w:t>支出</w:t>
      </w:r>
      <w:r>
        <w:rPr>
          <w:rFonts w:ascii="仿宋" w:hAnsi="仿宋" w:eastAsia="仿宋" w:cs="仿宋"/>
          <w:color w:val="000000"/>
          <w:sz w:val="32"/>
          <w:szCs w:val="32"/>
          <w:lang w:val="en-US" w:eastAsia="zh-CN"/>
        </w:rPr>
        <w:t>0</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0</w:t>
      </w:r>
      <w:r>
        <w:rPr>
          <w:rFonts w:ascii="仿宋" w:hAnsi="仿宋" w:eastAsia="仿宋" w:cs="仿宋"/>
          <w:color w:val="000000"/>
          <w:sz w:val="32"/>
          <w:szCs w:val="32"/>
        </w:rPr>
        <w:t>%；</w:t>
      </w:r>
      <w:r>
        <w:rPr>
          <w:rFonts w:ascii="仿宋" w:hAnsi="仿宋" w:eastAsia="仿宋" w:cs="仿宋"/>
          <w:b/>
          <w:color w:val="000000"/>
          <w:sz w:val="32"/>
          <w:szCs w:val="32"/>
        </w:rPr>
        <w:t>教育支出（类）</w:t>
      </w:r>
      <w:r>
        <w:rPr>
          <w:rFonts w:ascii="仿宋" w:hAnsi="仿宋" w:eastAsia="仿宋" w:cs="仿宋"/>
          <w:color w:val="000000"/>
          <w:sz w:val="32"/>
          <w:szCs w:val="32"/>
          <w:lang w:val="en-US" w:eastAsia="zh-CN"/>
        </w:rPr>
        <w:t>0</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0</w:t>
      </w:r>
      <w:r>
        <w:rPr>
          <w:rFonts w:ascii="仿宋" w:hAnsi="仿宋" w:eastAsia="仿宋" w:cs="仿宋"/>
          <w:color w:val="000000"/>
          <w:sz w:val="32"/>
          <w:szCs w:val="32"/>
        </w:rPr>
        <w:t>%；</w:t>
      </w:r>
      <w:r>
        <w:rPr>
          <w:rFonts w:ascii="仿宋" w:hAnsi="仿宋" w:eastAsia="仿宋" w:cs="仿宋"/>
          <w:b/>
          <w:color w:val="000000"/>
          <w:sz w:val="32"/>
          <w:szCs w:val="32"/>
        </w:rPr>
        <w:t>科学技术（类）</w:t>
      </w:r>
      <w:r>
        <w:rPr>
          <w:rFonts w:ascii="仿宋" w:hAnsi="仿宋" w:eastAsia="仿宋" w:cs="仿宋"/>
          <w:color w:val="000000"/>
          <w:sz w:val="32"/>
          <w:szCs w:val="32"/>
        </w:rPr>
        <w:t>支出</w:t>
      </w:r>
      <w:r>
        <w:rPr>
          <w:rFonts w:ascii="仿宋" w:hAnsi="仿宋" w:eastAsia="仿宋" w:cs="仿宋"/>
          <w:color w:val="000000"/>
          <w:sz w:val="32"/>
          <w:szCs w:val="32"/>
          <w:lang w:val="en-US" w:eastAsia="zh-CN"/>
        </w:rPr>
        <w:t>0</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0</w:t>
      </w:r>
      <w:r>
        <w:rPr>
          <w:rFonts w:ascii="仿宋" w:hAnsi="仿宋" w:eastAsia="仿宋" w:cs="仿宋"/>
          <w:color w:val="000000"/>
          <w:sz w:val="32"/>
          <w:szCs w:val="32"/>
        </w:rPr>
        <w:t>%；</w:t>
      </w:r>
      <w:r>
        <w:rPr>
          <w:rFonts w:ascii="仿宋" w:hAnsi="仿宋" w:eastAsia="仿宋" w:cs="仿宋"/>
          <w:b/>
          <w:bCs/>
          <w:color w:val="000000"/>
          <w:sz w:val="32"/>
          <w:szCs w:val="32"/>
        </w:rPr>
        <w:t>文化旅游体育与传媒（类）支出</w:t>
      </w:r>
      <w:r>
        <w:rPr>
          <w:rFonts w:ascii="仿宋" w:hAnsi="仿宋" w:eastAsia="仿宋" w:cs="仿宋"/>
          <w:b/>
          <w:bCs/>
          <w:color w:val="000000"/>
          <w:sz w:val="32"/>
          <w:szCs w:val="32"/>
          <w:lang w:val="en-US" w:eastAsia="zh-CN"/>
        </w:rPr>
        <w:t>0</w:t>
      </w:r>
      <w:r>
        <w:rPr>
          <w:rFonts w:ascii="仿宋" w:hAnsi="仿宋" w:eastAsia="仿宋" w:cs="仿宋"/>
          <w:b/>
          <w:bCs/>
          <w:color w:val="000000"/>
          <w:sz w:val="32"/>
          <w:szCs w:val="32"/>
        </w:rPr>
        <w:t>万元，占</w:t>
      </w:r>
      <w:r>
        <w:rPr>
          <w:rFonts w:ascii="仿宋" w:hAnsi="仿宋" w:eastAsia="仿宋" w:cs="仿宋"/>
          <w:b/>
          <w:bCs/>
          <w:color w:val="000000"/>
          <w:sz w:val="32"/>
          <w:szCs w:val="32"/>
          <w:lang w:val="en-US" w:eastAsia="zh-CN"/>
        </w:rPr>
        <w:t>0</w:t>
      </w:r>
      <w:r>
        <w:rPr>
          <w:rFonts w:ascii="仿宋" w:hAnsi="仿宋" w:eastAsia="仿宋" w:cs="仿宋"/>
          <w:b/>
          <w:bCs/>
          <w:color w:val="000000"/>
          <w:sz w:val="32"/>
          <w:szCs w:val="32"/>
        </w:rPr>
        <w:t>%</w:t>
      </w:r>
      <w:r>
        <w:rPr>
          <w:rFonts w:ascii="仿宋" w:hAnsi="仿宋" w:eastAsia="仿宋" w:cs="仿宋"/>
          <w:color w:val="000000"/>
          <w:sz w:val="32"/>
          <w:szCs w:val="32"/>
        </w:rPr>
        <w:t>；</w:t>
      </w:r>
      <w:r>
        <w:rPr>
          <w:rFonts w:ascii="仿宋" w:hAnsi="仿宋" w:eastAsia="仿宋" w:cs="仿宋"/>
          <w:b/>
          <w:color w:val="000000"/>
          <w:sz w:val="32"/>
          <w:szCs w:val="32"/>
        </w:rPr>
        <w:t>社会保障和就业（类）</w:t>
      </w:r>
      <w:r>
        <w:rPr>
          <w:rFonts w:ascii="仿宋" w:hAnsi="仿宋" w:eastAsia="仿宋" w:cs="仿宋"/>
          <w:color w:val="000000"/>
          <w:sz w:val="32"/>
          <w:szCs w:val="32"/>
        </w:rPr>
        <w:t>支出</w:t>
      </w:r>
      <w:r>
        <w:rPr>
          <w:rFonts w:ascii="仿宋" w:hAnsi="仿宋" w:eastAsia="仿宋" w:cs="仿宋"/>
          <w:color w:val="000000"/>
          <w:sz w:val="32"/>
          <w:szCs w:val="32"/>
          <w:lang w:val="en-US" w:eastAsia="zh-CN"/>
        </w:rPr>
        <w:t>20.07</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5</w:t>
      </w:r>
      <w:r>
        <w:rPr>
          <w:rFonts w:ascii="仿宋" w:hAnsi="仿宋" w:eastAsia="仿宋" w:cs="仿宋"/>
          <w:color w:val="000000"/>
          <w:sz w:val="32"/>
          <w:szCs w:val="32"/>
        </w:rPr>
        <w:t>%；</w:t>
      </w:r>
      <w:r>
        <w:rPr>
          <w:rFonts w:ascii="仿宋" w:hAnsi="仿宋" w:eastAsia="仿宋" w:cs="仿宋"/>
          <w:b/>
          <w:bCs/>
          <w:color w:val="000000"/>
          <w:sz w:val="32"/>
          <w:szCs w:val="32"/>
        </w:rPr>
        <w:t>卫生健康支出</w:t>
      </w:r>
      <w:r>
        <w:rPr>
          <w:rFonts w:ascii="仿宋" w:hAnsi="仿宋" w:eastAsia="仿宋" w:cs="仿宋"/>
          <w:color w:val="000000"/>
          <w:sz w:val="32"/>
          <w:szCs w:val="32"/>
          <w:lang w:val="en-US" w:eastAsia="zh-CN"/>
        </w:rPr>
        <w:t>9.57</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2</w:t>
      </w:r>
      <w:r>
        <w:rPr>
          <w:rFonts w:ascii="仿宋" w:hAnsi="仿宋" w:eastAsia="仿宋" w:cs="仿宋"/>
          <w:color w:val="000000"/>
          <w:sz w:val="32"/>
          <w:szCs w:val="32"/>
        </w:rPr>
        <w:t>%；住房保障支出</w:t>
      </w:r>
      <w:r>
        <w:rPr>
          <w:rFonts w:ascii="仿宋" w:hAnsi="仿宋" w:eastAsia="仿宋" w:cs="仿宋"/>
          <w:color w:val="000000"/>
          <w:sz w:val="32"/>
          <w:szCs w:val="32"/>
          <w:lang w:val="en-US" w:eastAsia="zh-CN"/>
        </w:rPr>
        <w:t>13.31</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3</w:t>
      </w:r>
      <w:r>
        <w:rPr>
          <w:rFonts w:ascii="仿宋" w:hAnsi="仿宋" w:eastAsia="仿宋" w:cs="仿宋"/>
          <w:color w:val="000000"/>
          <w:sz w:val="32"/>
          <w:szCs w:val="32"/>
        </w:rPr>
        <w:t>%；</w:t>
      </w:r>
      <w:r>
        <w:rPr>
          <w:rFonts w:ascii="仿宋" w:hAnsi="仿宋" w:eastAsia="仿宋" w:cs="Times New Roman"/>
          <w:b/>
          <w:bCs/>
          <w:color w:val="000000"/>
          <w:sz w:val="32"/>
          <w:szCs w:val="32"/>
          <w:lang w:eastAsia="zh-CN"/>
        </w:rPr>
        <w:t>城乡社区支出（类）</w:t>
      </w:r>
      <w:r>
        <w:rPr>
          <w:rFonts w:ascii="仿宋" w:hAnsi="仿宋" w:eastAsia="仿宋" w:cs="仿宋"/>
          <w:color w:val="000000"/>
          <w:sz w:val="32"/>
          <w:szCs w:val="32"/>
          <w:lang w:val="en-US" w:eastAsia="zh-CN"/>
        </w:rPr>
        <w:t>385.58万元，占90%</w:t>
      </w:r>
      <w:r>
        <w:rPr>
          <w:rFonts w:ascii="仿宋" w:hAnsi="仿宋" w:eastAsia="仿宋" w:cs="仿宋"/>
          <w:color w:val="000000"/>
          <w:sz w:val="32"/>
          <w:szCs w:val="32"/>
        </w:rPr>
        <w:t>。</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t>（图6：一般公共预算财政拨款支出决算结构）（饼状图）</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drawing>
          <wp:anchor distT="0" distB="0" distL="114935" distR="114935" simplePos="0" relativeHeight="251659264" behindDoc="0" locked="0" layoutInCell="0" allowOverlap="1">
            <wp:simplePos x="0" y="0"/>
            <wp:positionH relativeFrom="column">
              <wp:posOffset>24765</wp:posOffset>
            </wp:positionH>
            <wp:positionV relativeFrom="paragraph">
              <wp:posOffset>114300</wp:posOffset>
            </wp:positionV>
            <wp:extent cx="4255770" cy="2635250"/>
            <wp:effectExtent l="0" t="0" r="0" b="0"/>
            <wp:wrapSquare wrapText="bothSides"/>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noChangeArrowheads="1"/>
                    </pic:cNvPicPr>
                  </pic:nvPicPr>
                  <pic:blipFill>
                    <a:blip r:embed="rId13"/>
                    <a:srcRect l="-7" t="-11" r="-7" b="-11"/>
                    <a:stretch>
                      <a:fillRect/>
                    </a:stretch>
                  </pic:blipFill>
                  <pic:spPr>
                    <a:xfrm>
                      <a:off x="0" y="0"/>
                      <a:ext cx="4255770" cy="2635250"/>
                    </a:xfrm>
                    <a:prstGeom prst="rect">
                      <a:avLst/>
                    </a:prstGeom>
                  </pic:spPr>
                </pic:pic>
              </a:graphicData>
            </a:graphic>
          </wp:anchor>
        </w:drawing>
      </w: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numPr>
          <w:ilvl w:val="0"/>
          <w:numId w:val="0"/>
        </w:numPr>
        <w:spacing w:line="600" w:lineRule="exact"/>
        <w:outlineLvl w:val="2"/>
        <w:rPr>
          <w:rFonts w:ascii="仿宋" w:hAnsi="仿宋" w:eastAsia="仿宋" w:cs="仿宋"/>
          <w:b/>
          <w:color w:val="000000"/>
          <w:sz w:val="32"/>
          <w:szCs w:val="32"/>
        </w:rPr>
      </w:pPr>
      <w:r>
        <w:rPr>
          <w:rFonts w:ascii="仿宋" w:hAnsi="仿宋" w:eastAsia="仿宋" w:cs="仿宋"/>
          <w:b/>
          <w:color w:val="000000"/>
          <w:sz w:val="32"/>
          <w:szCs w:val="32"/>
        </w:rPr>
        <w:t>（三）一般公共预算财政拨款支出决算具体情况</w:t>
      </w:r>
    </w:p>
    <w:p>
      <w:pPr>
        <w:numPr>
          <w:ilvl w:val="0"/>
          <w:numId w:val="0"/>
        </w:numPr>
        <w:spacing w:line="600" w:lineRule="exact"/>
        <w:outlineLvl w:val="2"/>
        <w:rPr>
          <w:rFonts w:ascii="仿宋" w:hAnsi="仿宋" w:eastAsia="仿宋" w:cs="仿宋"/>
          <w:color w:val="FF0000"/>
          <w:sz w:val="32"/>
          <w:szCs w:val="32"/>
        </w:rPr>
      </w:pPr>
      <w:r>
        <w:rPr>
          <w:rFonts w:ascii="仿宋" w:hAnsi="仿宋" w:eastAsia="仿宋" w:cs="仿宋"/>
          <w:b/>
          <w:color w:val="000000"/>
          <w:sz w:val="32"/>
          <w:szCs w:val="32"/>
        </w:rPr>
        <w:t>2020年一般公共预算支出决算数为**</w:t>
      </w:r>
      <w:r>
        <w:rPr>
          <w:rFonts w:ascii="仿宋" w:hAnsi="仿宋" w:eastAsia="仿宋" w:cs="仿宋"/>
          <w:color w:val="000000"/>
          <w:sz w:val="32"/>
          <w:szCs w:val="32"/>
        </w:rPr>
        <w:t>，</w:t>
      </w:r>
      <w:r>
        <w:rPr>
          <w:rStyle w:val="14"/>
          <w:rFonts w:ascii="仿宋" w:hAnsi="仿宋" w:eastAsia="仿宋" w:cs="仿宋"/>
          <w:bCs/>
          <w:color w:val="000000"/>
          <w:sz w:val="32"/>
          <w:szCs w:val="32"/>
        </w:rPr>
        <w:t>完成预算**%。其中：</w:t>
      </w:r>
    </w:p>
    <w:p>
      <w:pPr>
        <w:numPr>
          <w:ilvl w:val="0"/>
          <w:numId w:val="0"/>
        </w:numPr>
        <w:spacing w:line="600" w:lineRule="exact"/>
        <w:outlineLvl w:val="2"/>
        <w:rPr>
          <w:rFonts w:ascii="仿宋" w:hAnsi="仿宋" w:eastAsia="仿宋" w:cs="仿宋"/>
          <w:color w:val="FF0000"/>
          <w:sz w:val="32"/>
          <w:szCs w:val="32"/>
        </w:rPr>
      </w:pPr>
      <w:r>
        <w:rPr>
          <w:rStyle w:val="14"/>
          <w:rFonts w:ascii="仿宋" w:hAnsi="仿宋" w:eastAsia="仿宋" w:cs="仿宋"/>
          <w:bCs/>
          <w:color w:val="000000"/>
          <w:sz w:val="32"/>
          <w:szCs w:val="32"/>
        </w:rPr>
        <w:t>其中：</w:t>
      </w:r>
    </w:p>
    <w:p>
      <w:pPr>
        <w:spacing w:line="600" w:lineRule="exact"/>
        <w:rPr>
          <w:rFonts w:ascii="仿宋" w:hAnsi="仿宋" w:eastAsia="仿宋" w:cs="仿宋"/>
          <w:b/>
          <w:color w:val="000000"/>
          <w:sz w:val="32"/>
          <w:szCs w:val="32"/>
        </w:rPr>
      </w:pPr>
      <w:r>
        <w:rPr>
          <w:rStyle w:val="14"/>
          <w:rFonts w:ascii="仿宋" w:hAnsi="仿宋" w:eastAsia="仿宋" w:cs="仿宋"/>
          <w:bCs/>
          <w:color w:val="000000"/>
          <w:sz w:val="32"/>
          <w:szCs w:val="32"/>
          <w:lang w:val="en-US" w:eastAsia="zh-CN"/>
        </w:rPr>
        <w:t>1、</w:t>
      </w:r>
      <w:r>
        <w:rPr>
          <w:rStyle w:val="14"/>
          <w:rFonts w:ascii="仿宋" w:hAnsi="仿宋" w:eastAsia="仿宋" w:cs="仿宋"/>
          <w:bCs/>
          <w:color w:val="000000"/>
          <w:sz w:val="32"/>
          <w:szCs w:val="32"/>
        </w:rPr>
        <w:t>社会保障和就业（类）</w:t>
      </w:r>
      <w:r>
        <w:rPr>
          <w:rStyle w:val="14"/>
          <w:rFonts w:ascii="仿宋" w:hAnsi="仿宋" w:eastAsia="仿宋" w:cs="仿宋"/>
          <w:bCs/>
          <w:color w:val="000000"/>
          <w:sz w:val="32"/>
          <w:szCs w:val="32"/>
          <w:lang w:eastAsia="zh-CN"/>
        </w:rPr>
        <w:t>行政事业单位离退休</w:t>
      </w:r>
      <w:r>
        <w:rPr>
          <w:rStyle w:val="14"/>
          <w:rFonts w:ascii="仿宋" w:hAnsi="仿宋" w:eastAsia="仿宋" w:cs="仿宋"/>
          <w:bCs/>
          <w:color w:val="000000"/>
          <w:sz w:val="32"/>
          <w:szCs w:val="32"/>
        </w:rPr>
        <w:t>（款）</w:t>
      </w:r>
      <w:r>
        <w:rPr>
          <w:rStyle w:val="14"/>
          <w:rFonts w:ascii="仿宋" w:hAnsi="仿宋" w:eastAsia="仿宋" w:cs="仿宋"/>
          <w:bCs/>
          <w:color w:val="000000"/>
          <w:sz w:val="32"/>
          <w:szCs w:val="32"/>
          <w:lang w:eastAsia="zh-CN"/>
        </w:rPr>
        <w:t>机关事业单位基本养老保险缴费支出</w:t>
      </w:r>
      <w:r>
        <w:rPr>
          <w:rStyle w:val="14"/>
          <w:rFonts w:ascii="仿宋" w:hAnsi="仿宋" w:eastAsia="仿宋" w:cs="仿宋"/>
          <w:bCs/>
          <w:color w:val="000000"/>
          <w:sz w:val="32"/>
          <w:szCs w:val="32"/>
        </w:rPr>
        <w:t>（项）:</w:t>
      </w:r>
      <w:r>
        <w:rPr>
          <w:rStyle w:val="14"/>
          <w:rFonts w:ascii="仿宋" w:hAnsi="仿宋" w:eastAsia="仿宋" w:cs="仿宋"/>
          <w:b w:val="0"/>
          <w:bCs/>
          <w:color w:val="000000"/>
          <w:sz w:val="32"/>
          <w:szCs w:val="32"/>
        </w:rPr>
        <w:t xml:space="preserve"> 支出决算为</w:t>
      </w:r>
      <w:r>
        <w:rPr>
          <w:rStyle w:val="14"/>
          <w:rFonts w:ascii="仿宋" w:hAnsi="仿宋" w:eastAsia="仿宋" w:cs="仿宋"/>
          <w:b w:val="0"/>
          <w:bCs/>
          <w:color w:val="000000"/>
          <w:sz w:val="32"/>
          <w:szCs w:val="32"/>
          <w:lang w:val="en-US" w:eastAsia="zh-CN"/>
        </w:rPr>
        <w:t>20.07</w:t>
      </w:r>
      <w:r>
        <w:rPr>
          <w:rStyle w:val="14"/>
          <w:rFonts w:ascii="仿宋" w:hAnsi="仿宋" w:eastAsia="仿宋" w:cs="仿宋"/>
          <w:b w:val="0"/>
          <w:bCs/>
          <w:color w:val="000000"/>
          <w:sz w:val="32"/>
          <w:szCs w:val="32"/>
        </w:rPr>
        <w:t>万元，完成预算</w:t>
      </w:r>
      <w:r>
        <w:rPr>
          <w:rStyle w:val="14"/>
          <w:rFonts w:ascii="仿宋" w:hAnsi="仿宋" w:eastAsia="仿宋" w:cs="仿宋"/>
          <w:b w:val="0"/>
          <w:bCs/>
          <w:color w:val="000000"/>
          <w:sz w:val="32"/>
          <w:szCs w:val="32"/>
          <w:lang w:val="en-US" w:eastAsia="zh-CN"/>
        </w:rPr>
        <w:t>100</w:t>
      </w:r>
      <w:r>
        <w:rPr>
          <w:rStyle w:val="14"/>
          <w:rFonts w:ascii="仿宋" w:hAnsi="仿宋" w:eastAsia="仿宋" w:cs="仿宋"/>
          <w:b w:val="0"/>
          <w:bCs/>
          <w:color w:val="000000"/>
          <w:sz w:val="32"/>
          <w:szCs w:val="32"/>
        </w:rPr>
        <w:t>%</w:t>
      </w:r>
      <w:r>
        <w:rPr>
          <w:rStyle w:val="14"/>
          <w:rFonts w:ascii="仿宋" w:hAnsi="仿宋" w:eastAsia="仿宋" w:cs="仿宋"/>
          <w:b w:val="0"/>
          <w:bCs/>
          <w:color w:val="000000"/>
          <w:sz w:val="32"/>
          <w:szCs w:val="32"/>
          <w:lang w:eastAsia="zh-CN"/>
        </w:rPr>
        <w:t>，</w:t>
      </w:r>
      <w:r>
        <w:rPr>
          <w:rStyle w:val="14"/>
          <w:rFonts w:ascii="仿宋" w:hAnsi="仿宋" w:eastAsia="仿宋" w:cs="仿宋"/>
          <w:b w:val="0"/>
          <w:bCs/>
          <w:color w:val="000000"/>
          <w:sz w:val="32"/>
          <w:szCs w:val="32"/>
        </w:rPr>
        <w:t>决算数等于预算数。</w:t>
      </w:r>
    </w:p>
    <w:p>
      <w:pPr>
        <w:spacing w:line="600" w:lineRule="exact"/>
        <w:rPr>
          <w:rFonts w:ascii="仿宋" w:hAnsi="仿宋" w:eastAsia="仿宋" w:cs="仿宋"/>
          <w:b/>
          <w:color w:val="000000"/>
          <w:sz w:val="32"/>
          <w:szCs w:val="32"/>
        </w:rPr>
      </w:pPr>
      <w:r>
        <w:rPr>
          <w:rStyle w:val="14"/>
          <w:rFonts w:ascii="仿宋" w:hAnsi="仿宋" w:eastAsia="仿宋" w:cs="仿宋"/>
          <w:bCs/>
          <w:color w:val="000000"/>
          <w:sz w:val="32"/>
          <w:szCs w:val="32"/>
          <w:lang w:val="en-US" w:eastAsia="zh-CN"/>
        </w:rPr>
        <w:t>2、</w:t>
      </w:r>
      <w:r>
        <w:rPr>
          <w:rStyle w:val="14"/>
          <w:rFonts w:ascii="仿宋" w:hAnsi="仿宋" w:eastAsia="仿宋" w:cs="仿宋"/>
          <w:bCs/>
          <w:color w:val="000000"/>
          <w:sz w:val="32"/>
          <w:szCs w:val="32"/>
        </w:rPr>
        <w:t>社会保障和就业（类）</w:t>
      </w:r>
      <w:r>
        <w:rPr>
          <w:rStyle w:val="14"/>
          <w:rFonts w:ascii="仿宋" w:hAnsi="仿宋" w:eastAsia="仿宋" w:cs="仿宋"/>
          <w:bCs/>
          <w:color w:val="000000"/>
          <w:sz w:val="32"/>
          <w:szCs w:val="32"/>
          <w:lang w:eastAsia="zh-CN"/>
        </w:rPr>
        <w:t>行政事业单位离退休</w:t>
      </w:r>
      <w:r>
        <w:rPr>
          <w:rStyle w:val="14"/>
          <w:rFonts w:ascii="仿宋" w:hAnsi="仿宋" w:eastAsia="仿宋" w:cs="仿宋"/>
          <w:bCs/>
          <w:color w:val="000000"/>
          <w:sz w:val="32"/>
          <w:szCs w:val="32"/>
        </w:rPr>
        <w:t>（款）</w:t>
      </w:r>
      <w:r>
        <w:rPr>
          <w:rStyle w:val="14"/>
          <w:rFonts w:ascii="仿宋" w:hAnsi="仿宋" w:eastAsia="仿宋" w:cs="仿宋"/>
          <w:bCs/>
          <w:color w:val="000000"/>
          <w:sz w:val="32"/>
          <w:szCs w:val="32"/>
          <w:lang w:eastAsia="zh-CN"/>
        </w:rPr>
        <w:t>机关事业单位职业年金缴费支出</w:t>
      </w:r>
      <w:r>
        <w:rPr>
          <w:rStyle w:val="14"/>
          <w:rFonts w:ascii="仿宋" w:hAnsi="仿宋" w:eastAsia="仿宋" w:cs="仿宋"/>
          <w:bCs/>
          <w:color w:val="000000"/>
          <w:sz w:val="32"/>
          <w:szCs w:val="32"/>
        </w:rPr>
        <w:t>（项）:</w:t>
      </w:r>
      <w:r>
        <w:rPr>
          <w:rStyle w:val="14"/>
          <w:rFonts w:ascii="仿宋" w:hAnsi="仿宋" w:eastAsia="仿宋" w:cs="仿宋"/>
          <w:b w:val="0"/>
          <w:bCs/>
          <w:color w:val="000000"/>
          <w:sz w:val="32"/>
          <w:szCs w:val="32"/>
        </w:rPr>
        <w:t xml:space="preserve"> 支出决算为</w:t>
      </w:r>
      <w:r>
        <w:rPr>
          <w:rStyle w:val="14"/>
          <w:rFonts w:ascii="仿宋" w:hAnsi="仿宋" w:eastAsia="仿宋" w:cs="仿宋"/>
          <w:b w:val="0"/>
          <w:bCs/>
          <w:color w:val="000000"/>
          <w:sz w:val="32"/>
          <w:szCs w:val="32"/>
          <w:lang w:val="en-US" w:eastAsia="zh-CN"/>
        </w:rPr>
        <w:t>0</w:t>
      </w:r>
      <w:r>
        <w:rPr>
          <w:rStyle w:val="14"/>
          <w:rFonts w:ascii="仿宋" w:hAnsi="仿宋" w:eastAsia="仿宋" w:cs="仿宋"/>
          <w:b w:val="0"/>
          <w:bCs/>
          <w:color w:val="000000"/>
          <w:sz w:val="32"/>
          <w:szCs w:val="32"/>
        </w:rPr>
        <w:t>万元，完成预算</w:t>
      </w:r>
      <w:r>
        <w:rPr>
          <w:rStyle w:val="14"/>
          <w:rFonts w:ascii="仿宋" w:hAnsi="仿宋" w:eastAsia="仿宋" w:cs="仿宋"/>
          <w:b w:val="0"/>
          <w:bCs/>
          <w:color w:val="000000"/>
          <w:sz w:val="32"/>
          <w:szCs w:val="32"/>
          <w:lang w:val="en-US" w:eastAsia="zh-CN"/>
        </w:rPr>
        <w:t>100</w:t>
      </w:r>
      <w:r>
        <w:rPr>
          <w:rStyle w:val="14"/>
          <w:rFonts w:ascii="仿宋" w:hAnsi="仿宋" w:eastAsia="仿宋" w:cs="仿宋"/>
          <w:b w:val="0"/>
          <w:bCs/>
          <w:color w:val="000000"/>
          <w:sz w:val="32"/>
          <w:szCs w:val="32"/>
        </w:rPr>
        <w:t>%</w:t>
      </w:r>
      <w:r>
        <w:rPr>
          <w:rStyle w:val="14"/>
          <w:rFonts w:ascii="仿宋" w:hAnsi="仿宋" w:eastAsia="仿宋" w:cs="仿宋"/>
          <w:b w:val="0"/>
          <w:bCs/>
          <w:color w:val="000000"/>
          <w:sz w:val="32"/>
          <w:szCs w:val="32"/>
          <w:lang w:eastAsia="zh-CN"/>
        </w:rPr>
        <w:t>，</w:t>
      </w:r>
      <w:r>
        <w:rPr>
          <w:rStyle w:val="14"/>
          <w:rFonts w:ascii="仿宋" w:hAnsi="仿宋" w:eastAsia="仿宋" w:cs="仿宋"/>
          <w:b w:val="0"/>
          <w:bCs/>
          <w:color w:val="000000"/>
          <w:sz w:val="32"/>
          <w:szCs w:val="32"/>
        </w:rPr>
        <w:t>决算数等于预算数。</w:t>
      </w:r>
    </w:p>
    <w:p>
      <w:pPr>
        <w:spacing w:line="600" w:lineRule="exact"/>
        <w:rPr>
          <w:rFonts w:ascii="仿宋" w:hAnsi="仿宋" w:eastAsia="仿宋" w:cs="仿宋"/>
          <w:b/>
          <w:color w:val="000000"/>
          <w:sz w:val="32"/>
          <w:szCs w:val="32"/>
        </w:rPr>
      </w:pPr>
      <w:r>
        <w:rPr>
          <w:rStyle w:val="14"/>
          <w:rFonts w:ascii="仿宋" w:hAnsi="仿宋" w:eastAsia="仿宋" w:cs="仿宋"/>
          <w:bCs/>
          <w:color w:val="000000"/>
          <w:sz w:val="32"/>
          <w:szCs w:val="32"/>
          <w:lang w:val="en-US" w:eastAsia="zh-CN"/>
        </w:rPr>
        <w:t>3</w:t>
      </w:r>
      <w:r>
        <w:rPr>
          <w:rStyle w:val="14"/>
          <w:rFonts w:ascii="仿宋" w:hAnsi="仿宋" w:eastAsia="仿宋" w:cs="仿宋"/>
          <w:bCs/>
          <w:color w:val="000000"/>
          <w:sz w:val="32"/>
          <w:szCs w:val="32"/>
        </w:rPr>
        <w:t>.医疗卫生与计划生育（类）</w:t>
      </w:r>
      <w:r>
        <w:rPr>
          <w:rStyle w:val="14"/>
          <w:rFonts w:ascii="仿宋" w:hAnsi="仿宋" w:eastAsia="仿宋" w:cs="仿宋"/>
          <w:bCs/>
          <w:color w:val="000000"/>
          <w:sz w:val="32"/>
          <w:szCs w:val="32"/>
          <w:lang w:eastAsia="zh-CN"/>
        </w:rPr>
        <w:t>行政事业单位医疗</w:t>
      </w:r>
      <w:r>
        <w:rPr>
          <w:rStyle w:val="14"/>
          <w:rFonts w:ascii="仿宋" w:hAnsi="仿宋" w:eastAsia="仿宋" w:cs="仿宋"/>
          <w:bCs/>
          <w:color w:val="000000"/>
          <w:sz w:val="32"/>
          <w:szCs w:val="32"/>
        </w:rPr>
        <w:t>（款）</w:t>
      </w:r>
      <w:r>
        <w:rPr>
          <w:rStyle w:val="14"/>
          <w:rFonts w:ascii="仿宋" w:hAnsi="仿宋" w:eastAsia="仿宋" w:cs="仿宋"/>
          <w:bCs/>
          <w:color w:val="000000"/>
          <w:sz w:val="32"/>
          <w:szCs w:val="32"/>
          <w:lang w:eastAsia="zh-CN"/>
        </w:rPr>
        <w:t>事业单位医疗</w:t>
      </w:r>
      <w:r>
        <w:rPr>
          <w:rStyle w:val="14"/>
          <w:rFonts w:ascii="仿宋" w:hAnsi="仿宋" w:eastAsia="仿宋" w:cs="仿宋"/>
          <w:bCs/>
          <w:color w:val="000000"/>
          <w:sz w:val="32"/>
          <w:szCs w:val="32"/>
        </w:rPr>
        <w:t>（项）:</w:t>
      </w:r>
      <w:r>
        <w:rPr>
          <w:rStyle w:val="14"/>
          <w:rFonts w:ascii="仿宋" w:hAnsi="仿宋" w:eastAsia="仿宋" w:cs="仿宋"/>
          <w:b w:val="0"/>
          <w:bCs/>
          <w:color w:val="000000"/>
          <w:sz w:val="32"/>
          <w:szCs w:val="32"/>
        </w:rPr>
        <w:t>支出决算为</w:t>
      </w:r>
      <w:r>
        <w:rPr>
          <w:rStyle w:val="14"/>
          <w:rFonts w:ascii="仿宋" w:hAnsi="仿宋" w:eastAsia="仿宋" w:cs="仿宋"/>
          <w:b w:val="0"/>
          <w:bCs/>
          <w:color w:val="000000"/>
          <w:sz w:val="32"/>
          <w:szCs w:val="32"/>
          <w:lang w:val="en-US" w:eastAsia="zh-CN"/>
        </w:rPr>
        <w:t>9.57</w:t>
      </w:r>
      <w:r>
        <w:rPr>
          <w:rStyle w:val="14"/>
          <w:rFonts w:ascii="仿宋" w:hAnsi="仿宋" w:eastAsia="仿宋" w:cs="仿宋"/>
          <w:b w:val="0"/>
          <w:bCs/>
          <w:color w:val="000000"/>
          <w:sz w:val="32"/>
          <w:szCs w:val="32"/>
        </w:rPr>
        <w:t>万元，完成预算</w:t>
      </w:r>
      <w:r>
        <w:rPr>
          <w:rStyle w:val="14"/>
          <w:rFonts w:ascii="仿宋" w:hAnsi="仿宋" w:eastAsia="仿宋" w:cs="仿宋"/>
          <w:b w:val="0"/>
          <w:bCs/>
          <w:color w:val="000000"/>
          <w:sz w:val="32"/>
          <w:szCs w:val="32"/>
          <w:lang w:val="en-US" w:eastAsia="zh-CN"/>
        </w:rPr>
        <w:t>100</w:t>
      </w:r>
      <w:r>
        <w:rPr>
          <w:rStyle w:val="14"/>
          <w:rFonts w:ascii="仿宋" w:hAnsi="仿宋" w:eastAsia="仿宋" w:cs="仿宋"/>
          <w:b w:val="0"/>
          <w:bCs/>
          <w:color w:val="000000"/>
          <w:sz w:val="32"/>
          <w:szCs w:val="32"/>
        </w:rPr>
        <w:t>%</w:t>
      </w:r>
      <w:r>
        <w:rPr>
          <w:rStyle w:val="14"/>
          <w:rFonts w:ascii="仿宋" w:hAnsi="仿宋" w:eastAsia="仿宋" w:cs="仿宋"/>
          <w:b w:val="0"/>
          <w:bCs/>
          <w:color w:val="000000"/>
          <w:sz w:val="32"/>
          <w:szCs w:val="32"/>
          <w:lang w:eastAsia="zh-CN"/>
        </w:rPr>
        <w:t>，</w:t>
      </w:r>
      <w:r>
        <w:rPr>
          <w:rStyle w:val="14"/>
          <w:rFonts w:ascii="仿宋" w:hAnsi="仿宋" w:eastAsia="仿宋" w:cs="仿宋"/>
          <w:b w:val="0"/>
          <w:bCs/>
          <w:color w:val="000000"/>
          <w:sz w:val="32"/>
          <w:szCs w:val="32"/>
        </w:rPr>
        <w:t>决算数等于预算数。</w:t>
      </w:r>
    </w:p>
    <w:p>
      <w:pPr>
        <w:spacing w:line="600" w:lineRule="exact"/>
        <w:rPr>
          <w:rStyle w:val="14"/>
          <w:rFonts w:ascii="仿宋" w:hAnsi="仿宋" w:eastAsia="仿宋" w:cs="仿宋"/>
          <w:b w:val="0"/>
          <w:bCs/>
          <w:color w:val="000000"/>
          <w:sz w:val="32"/>
          <w:szCs w:val="32"/>
        </w:rPr>
      </w:pPr>
      <w:r>
        <w:rPr>
          <w:rFonts w:ascii="仿宋" w:hAnsi="仿宋" w:eastAsia="仿宋" w:cs="仿宋"/>
          <w:b/>
          <w:color w:val="000000"/>
          <w:sz w:val="32"/>
          <w:szCs w:val="32"/>
          <w:lang w:val="en-US" w:eastAsia="zh-CN"/>
        </w:rPr>
        <w:t>4、</w:t>
      </w:r>
      <w:r>
        <w:rPr>
          <w:rFonts w:ascii="仿宋" w:hAnsi="仿宋" w:eastAsia="仿宋" w:cs="仿宋"/>
          <w:b/>
          <w:color w:val="000000"/>
          <w:sz w:val="32"/>
          <w:szCs w:val="32"/>
          <w:lang w:eastAsia="zh-CN"/>
        </w:rPr>
        <w:t>城乡社区支出</w:t>
      </w:r>
      <w:r>
        <w:rPr>
          <w:rFonts w:ascii="仿宋" w:hAnsi="仿宋" w:eastAsia="仿宋" w:cs="仿宋"/>
          <w:b/>
          <w:color w:val="000000"/>
          <w:sz w:val="32"/>
          <w:szCs w:val="32"/>
        </w:rPr>
        <w:t>（类）</w:t>
      </w:r>
      <w:r>
        <w:rPr>
          <w:rFonts w:ascii="仿宋" w:hAnsi="仿宋" w:eastAsia="仿宋" w:cs="仿宋"/>
          <w:b/>
          <w:color w:val="000000"/>
          <w:sz w:val="32"/>
          <w:szCs w:val="32"/>
          <w:lang w:eastAsia="zh-CN"/>
        </w:rPr>
        <w:t>城乡社区规划与管理（款）城乡社区规划与管理（项）：</w:t>
      </w:r>
      <w:r>
        <w:rPr>
          <w:rFonts w:ascii="仿宋" w:hAnsi="仿宋" w:eastAsia="仿宋" w:cs="仿宋"/>
          <w:color w:val="000000"/>
          <w:sz w:val="32"/>
          <w:szCs w:val="32"/>
        </w:rPr>
        <w:t>支出</w:t>
      </w:r>
      <w:r>
        <w:rPr>
          <w:rFonts w:ascii="仿宋" w:hAnsi="仿宋" w:eastAsia="仿宋" w:cs="仿宋"/>
          <w:color w:val="000000"/>
          <w:sz w:val="32"/>
          <w:szCs w:val="32"/>
          <w:lang w:eastAsia="zh-CN"/>
        </w:rPr>
        <w:t>决算为</w:t>
      </w:r>
      <w:r>
        <w:rPr>
          <w:rFonts w:ascii="仿宋" w:hAnsi="仿宋" w:eastAsia="仿宋" w:cs="仿宋"/>
          <w:color w:val="000000"/>
          <w:sz w:val="32"/>
          <w:szCs w:val="32"/>
          <w:lang w:val="en-US" w:eastAsia="zh-CN"/>
        </w:rPr>
        <w:t>132.95</w:t>
      </w:r>
      <w:r>
        <w:rPr>
          <w:rFonts w:ascii="仿宋" w:hAnsi="仿宋" w:eastAsia="仿宋" w:cs="仿宋"/>
          <w:color w:val="000000"/>
          <w:sz w:val="32"/>
          <w:szCs w:val="32"/>
        </w:rPr>
        <w:t>万元，</w:t>
      </w:r>
      <w:r>
        <w:rPr>
          <w:rStyle w:val="14"/>
          <w:rFonts w:ascii="仿宋" w:hAnsi="仿宋" w:eastAsia="仿宋" w:cs="仿宋"/>
          <w:b w:val="0"/>
          <w:bCs/>
          <w:color w:val="000000"/>
          <w:sz w:val="32"/>
          <w:szCs w:val="32"/>
        </w:rPr>
        <w:t>完成预算</w:t>
      </w:r>
      <w:r>
        <w:rPr>
          <w:rStyle w:val="14"/>
          <w:rFonts w:ascii="仿宋" w:hAnsi="仿宋" w:eastAsia="仿宋" w:cs="仿宋"/>
          <w:b w:val="0"/>
          <w:bCs/>
          <w:color w:val="000000"/>
          <w:sz w:val="32"/>
          <w:szCs w:val="32"/>
          <w:lang w:val="en-US" w:eastAsia="zh-CN"/>
        </w:rPr>
        <w:t>100</w:t>
      </w:r>
      <w:r>
        <w:rPr>
          <w:rStyle w:val="14"/>
          <w:rFonts w:ascii="仿宋" w:hAnsi="仿宋" w:eastAsia="仿宋" w:cs="仿宋"/>
          <w:b w:val="0"/>
          <w:bCs/>
          <w:color w:val="000000"/>
          <w:sz w:val="32"/>
          <w:szCs w:val="32"/>
        </w:rPr>
        <w:t>%。</w:t>
      </w:r>
    </w:p>
    <w:p>
      <w:pPr>
        <w:spacing w:line="600" w:lineRule="exact"/>
        <w:rPr>
          <w:rStyle w:val="14"/>
          <w:rFonts w:ascii="仿宋" w:hAnsi="仿宋" w:eastAsia="仿宋" w:cs="仿宋"/>
          <w:b w:val="0"/>
          <w:bCs/>
          <w:color w:val="000000"/>
          <w:sz w:val="32"/>
          <w:szCs w:val="32"/>
        </w:rPr>
      </w:pPr>
      <w:r>
        <w:rPr>
          <w:rFonts w:ascii="仿宋" w:hAnsi="仿宋" w:eastAsia="仿宋" w:cs="仿宋"/>
          <w:b/>
          <w:color w:val="000000"/>
          <w:sz w:val="32"/>
          <w:szCs w:val="32"/>
          <w:lang w:val="en-US" w:eastAsia="zh-CN"/>
        </w:rPr>
        <w:t>5、</w:t>
      </w:r>
      <w:r>
        <w:rPr>
          <w:rFonts w:ascii="仿宋" w:hAnsi="仿宋" w:eastAsia="仿宋" w:cs="仿宋"/>
          <w:b/>
          <w:color w:val="000000"/>
          <w:sz w:val="32"/>
          <w:szCs w:val="32"/>
          <w:lang w:eastAsia="zh-CN"/>
        </w:rPr>
        <w:t>城乡社区支出</w:t>
      </w:r>
      <w:r>
        <w:rPr>
          <w:rFonts w:ascii="仿宋" w:hAnsi="仿宋" w:eastAsia="仿宋" w:cs="仿宋"/>
          <w:b/>
          <w:color w:val="000000"/>
          <w:sz w:val="32"/>
          <w:szCs w:val="32"/>
        </w:rPr>
        <w:t>（类）</w:t>
      </w:r>
      <w:r>
        <w:rPr>
          <w:rFonts w:ascii="仿宋" w:hAnsi="仿宋" w:eastAsia="仿宋" w:cs="仿宋"/>
          <w:b/>
          <w:color w:val="000000"/>
          <w:sz w:val="32"/>
          <w:szCs w:val="32"/>
          <w:lang w:eastAsia="zh-CN"/>
        </w:rPr>
        <w:t>城乡社区公共设施（款）其他城乡社区公共设施支出（项）：</w:t>
      </w:r>
      <w:r>
        <w:rPr>
          <w:rFonts w:ascii="仿宋" w:hAnsi="仿宋" w:eastAsia="仿宋" w:cs="仿宋"/>
          <w:color w:val="000000"/>
          <w:sz w:val="32"/>
          <w:szCs w:val="32"/>
        </w:rPr>
        <w:t>支出</w:t>
      </w:r>
      <w:r>
        <w:rPr>
          <w:rFonts w:ascii="仿宋" w:hAnsi="仿宋" w:eastAsia="仿宋" w:cs="仿宋"/>
          <w:color w:val="000000"/>
          <w:sz w:val="32"/>
          <w:szCs w:val="32"/>
          <w:lang w:eastAsia="zh-CN"/>
        </w:rPr>
        <w:t>决算为</w:t>
      </w:r>
      <w:r>
        <w:rPr>
          <w:rFonts w:ascii="仿宋" w:hAnsi="仿宋" w:eastAsia="仿宋" w:cs="仿宋"/>
          <w:color w:val="000000"/>
          <w:sz w:val="32"/>
          <w:szCs w:val="32"/>
          <w:lang w:val="en-US" w:eastAsia="zh-CN"/>
        </w:rPr>
        <w:t>3.72</w:t>
      </w:r>
      <w:r>
        <w:rPr>
          <w:rFonts w:ascii="仿宋" w:hAnsi="仿宋" w:eastAsia="仿宋" w:cs="仿宋"/>
          <w:color w:val="000000"/>
          <w:sz w:val="32"/>
          <w:szCs w:val="32"/>
        </w:rPr>
        <w:t>万元，</w:t>
      </w:r>
      <w:r>
        <w:rPr>
          <w:rStyle w:val="14"/>
          <w:rFonts w:ascii="仿宋" w:hAnsi="仿宋" w:eastAsia="仿宋" w:cs="仿宋"/>
          <w:b w:val="0"/>
          <w:bCs/>
          <w:color w:val="000000"/>
          <w:sz w:val="32"/>
          <w:szCs w:val="32"/>
        </w:rPr>
        <w:t>完成预算</w:t>
      </w:r>
      <w:r>
        <w:rPr>
          <w:rStyle w:val="14"/>
          <w:rFonts w:ascii="仿宋" w:hAnsi="仿宋" w:eastAsia="仿宋" w:cs="仿宋"/>
          <w:b w:val="0"/>
          <w:bCs/>
          <w:color w:val="000000"/>
          <w:sz w:val="32"/>
          <w:szCs w:val="32"/>
          <w:lang w:val="en-US" w:eastAsia="zh-CN"/>
        </w:rPr>
        <w:t>100</w:t>
      </w:r>
      <w:r>
        <w:rPr>
          <w:rStyle w:val="14"/>
          <w:rFonts w:ascii="仿宋" w:hAnsi="仿宋" w:eastAsia="仿宋" w:cs="仿宋"/>
          <w:b w:val="0"/>
          <w:bCs/>
          <w:color w:val="000000"/>
          <w:sz w:val="32"/>
          <w:szCs w:val="32"/>
        </w:rPr>
        <w:t>%。</w:t>
      </w:r>
    </w:p>
    <w:p>
      <w:pPr>
        <w:spacing w:line="600" w:lineRule="exact"/>
        <w:rPr>
          <w:rFonts w:ascii="仿宋" w:hAnsi="仿宋" w:eastAsia="仿宋" w:cs="仿宋"/>
          <w:b/>
          <w:color w:val="000000"/>
          <w:sz w:val="32"/>
          <w:szCs w:val="32"/>
          <w:lang w:val="en-US" w:eastAsia="zh-CN"/>
        </w:rPr>
      </w:pPr>
      <w:r>
        <w:rPr>
          <w:rFonts w:ascii="仿宋" w:hAnsi="仿宋" w:eastAsia="仿宋" w:cs="仿宋"/>
          <w:b/>
          <w:color w:val="000000"/>
          <w:sz w:val="32"/>
          <w:szCs w:val="32"/>
          <w:lang w:val="en-US" w:eastAsia="zh-CN"/>
        </w:rPr>
        <w:t>6、</w:t>
      </w:r>
      <w:r>
        <w:rPr>
          <w:rFonts w:ascii="仿宋" w:hAnsi="仿宋" w:eastAsia="仿宋" w:cs="仿宋"/>
          <w:b/>
          <w:color w:val="000000"/>
          <w:sz w:val="32"/>
          <w:szCs w:val="32"/>
          <w:lang w:eastAsia="zh-CN"/>
        </w:rPr>
        <w:t>城乡社区支出</w:t>
      </w:r>
      <w:r>
        <w:rPr>
          <w:rFonts w:ascii="仿宋" w:hAnsi="仿宋" w:eastAsia="仿宋" w:cs="仿宋"/>
          <w:b/>
          <w:color w:val="000000"/>
          <w:sz w:val="32"/>
          <w:szCs w:val="32"/>
        </w:rPr>
        <w:t>（类）</w:t>
      </w:r>
      <w:r>
        <w:rPr>
          <w:rFonts w:ascii="仿宋" w:hAnsi="仿宋" w:eastAsia="仿宋" w:cs="仿宋"/>
          <w:b/>
          <w:color w:val="000000"/>
          <w:sz w:val="32"/>
          <w:szCs w:val="32"/>
          <w:lang w:eastAsia="zh-CN"/>
        </w:rPr>
        <w:t>城乡社区环境卫生（款）城乡社区环境卫生（项）：</w:t>
      </w:r>
      <w:r>
        <w:rPr>
          <w:rFonts w:ascii="仿宋" w:hAnsi="仿宋" w:eastAsia="仿宋" w:cs="仿宋"/>
          <w:color w:val="000000"/>
          <w:sz w:val="32"/>
          <w:szCs w:val="32"/>
        </w:rPr>
        <w:t>支出</w:t>
      </w:r>
      <w:r>
        <w:rPr>
          <w:rFonts w:ascii="仿宋" w:hAnsi="仿宋" w:eastAsia="仿宋" w:cs="仿宋"/>
          <w:color w:val="000000"/>
          <w:sz w:val="32"/>
          <w:szCs w:val="32"/>
          <w:lang w:eastAsia="zh-CN"/>
        </w:rPr>
        <w:t>决算为</w:t>
      </w:r>
      <w:r>
        <w:rPr>
          <w:rFonts w:ascii="仿宋" w:hAnsi="仿宋" w:eastAsia="仿宋" w:cs="仿宋"/>
          <w:color w:val="000000"/>
          <w:sz w:val="32"/>
          <w:szCs w:val="32"/>
          <w:lang w:val="en-US" w:eastAsia="zh-CN"/>
        </w:rPr>
        <w:t>248.91</w:t>
      </w:r>
      <w:r>
        <w:rPr>
          <w:rFonts w:ascii="仿宋" w:hAnsi="仿宋" w:eastAsia="仿宋" w:cs="仿宋"/>
          <w:color w:val="000000"/>
          <w:sz w:val="32"/>
          <w:szCs w:val="32"/>
        </w:rPr>
        <w:t>万元，</w:t>
      </w:r>
      <w:r>
        <w:rPr>
          <w:rStyle w:val="14"/>
          <w:rFonts w:ascii="仿宋" w:hAnsi="仿宋" w:eastAsia="仿宋" w:cs="仿宋"/>
          <w:b w:val="0"/>
          <w:bCs/>
          <w:color w:val="000000"/>
          <w:sz w:val="32"/>
          <w:szCs w:val="32"/>
        </w:rPr>
        <w:t>完成预算</w:t>
      </w:r>
      <w:r>
        <w:rPr>
          <w:rStyle w:val="14"/>
          <w:rFonts w:ascii="仿宋" w:hAnsi="仿宋" w:eastAsia="仿宋" w:cs="仿宋"/>
          <w:b w:val="0"/>
          <w:bCs/>
          <w:color w:val="000000"/>
          <w:sz w:val="32"/>
          <w:szCs w:val="32"/>
          <w:lang w:val="en-US" w:eastAsia="zh-CN"/>
        </w:rPr>
        <w:t>100</w:t>
      </w:r>
      <w:r>
        <w:rPr>
          <w:rStyle w:val="14"/>
          <w:rFonts w:ascii="仿宋" w:hAnsi="仿宋" w:eastAsia="仿宋" w:cs="仿宋"/>
          <w:b w:val="0"/>
          <w:bCs/>
          <w:color w:val="000000"/>
          <w:sz w:val="32"/>
          <w:szCs w:val="32"/>
        </w:rPr>
        <w:t>%</w:t>
      </w:r>
      <w:r>
        <w:rPr>
          <w:rStyle w:val="14"/>
          <w:rFonts w:ascii="仿宋" w:hAnsi="仿宋" w:eastAsia="仿宋" w:cs="仿宋"/>
          <w:b w:val="0"/>
          <w:bCs/>
          <w:color w:val="000000"/>
          <w:sz w:val="32"/>
          <w:szCs w:val="32"/>
          <w:lang w:eastAsia="zh-CN"/>
        </w:rPr>
        <w:t>，</w:t>
      </w:r>
      <w:r>
        <w:rPr>
          <w:rStyle w:val="14"/>
          <w:rFonts w:ascii="仿宋" w:hAnsi="仿宋" w:eastAsia="仿宋" w:cs="仿宋"/>
          <w:b w:val="0"/>
          <w:bCs/>
          <w:color w:val="000000"/>
          <w:sz w:val="32"/>
          <w:szCs w:val="32"/>
        </w:rPr>
        <w:t>决算数</w:t>
      </w:r>
      <w:r>
        <w:rPr>
          <w:rStyle w:val="14"/>
          <w:rFonts w:ascii="仿宋" w:hAnsi="仿宋" w:eastAsia="仿宋" w:cs="仿宋"/>
          <w:b w:val="0"/>
          <w:bCs/>
          <w:color w:val="000000"/>
          <w:sz w:val="32"/>
          <w:szCs w:val="32"/>
          <w:lang w:eastAsia="zh-CN"/>
        </w:rPr>
        <w:t>等</w:t>
      </w:r>
      <w:r>
        <w:rPr>
          <w:rStyle w:val="14"/>
          <w:rFonts w:ascii="仿宋" w:hAnsi="仿宋" w:eastAsia="仿宋" w:cs="仿宋"/>
          <w:b w:val="0"/>
          <w:bCs/>
          <w:color w:val="000000"/>
          <w:sz w:val="32"/>
          <w:szCs w:val="32"/>
        </w:rPr>
        <w:t>预算数</w:t>
      </w:r>
      <w:r>
        <w:rPr>
          <w:rStyle w:val="14"/>
          <w:rFonts w:ascii="仿宋" w:hAnsi="仿宋" w:eastAsia="仿宋" w:cs="仿宋"/>
          <w:b w:val="0"/>
          <w:bCs/>
          <w:color w:val="000000"/>
          <w:sz w:val="32"/>
          <w:szCs w:val="32"/>
          <w:lang w:eastAsia="zh-CN"/>
        </w:rPr>
        <w:t>。</w:t>
      </w:r>
    </w:p>
    <w:p>
      <w:pPr>
        <w:spacing w:line="600" w:lineRule="exact"/>
        <w:rPr>
          <w:rFonts w:ascii="仿宋" w:hAnsi="仿宋" w:eastAsia="仿宋" w:cs="仿宋"/>
          <w:color w:val="000000"/>
          <w:sz w:val="32"/>
          <w:szCs w:val="32"/>
        </w:rPr>
      </w:pPr>
      <w:r>
        <w:rPr>
          <w:rFonts w:ascii="仿宋" w:hAnsi="仿宋" w:eastAsia="仿宋" w:cs="仿宋"/>
          <w:b/>
          <w:color w:val="000000"/>
          <w:sz w:val="32"/>
          <w:szCs w:val="32"/>
          <w:lang w:val="en-US" w:eastAsia="zh-CN"/>
        </w:rPr>
        <w:t>7、</w:t>
      </w:r>
      <w:r>
        <w:rPr>
          <w:rFonts w:ascii="仿宋" w:hAnsi="仿宋" w:eastAsia="仿宋" w:cs="仿宋"/>
          <w:b/>
          <w:color w:val="000000"/>
          <w:sz w:val="32"/>
          <w:szCs w:val="32"/>
          <w:lang w:eastAsia="zh-CN"/>
        </w:rPr>
        <w:t>住房保障支出</w:t>
      </w:r>
      <w:r>
        <w:rPr>
          <w:rFonts w:ascii="仿宋" w:hAnsi="仿宋" w:eastAsia="仿宋" w:cs="仿宋"/>
          <w:b/>
          <w:color w:val="000000"/>
          <w:sz w:val="32"/>
          <w:szCs w:val="32"/>
        </w:rPr>
        <w:t>（类）</w:t>
      </w:r>
      <w:r>
        <w:rPr>
          <w:rFonts w:ascii="仿宋" w:hAnsi="仿宋" w:eastAsia="仿宋" w:cs="仿宋"/>
          <w:b/>
          <w:color w:val="000000"/>
          <w:sz w:val="32"/>
          <w:szCs w:val="32"/>
          <w:lang w:eastAsia="zh-CN"/>
        </w:rPr>
        <w:t>住房改革支出（款）住房公积金（项）：</w:t>
      </w:r>
      <w:r>
        <w:rPr>
          <w:rFonts w:ascii="仿宋" w:hAnsi="仿宋" w:eastAsia="仿宋" w:cs="仿宋"/>
          <w:color w:val="000000"/>
          <w:sz w:val="32"/>
          <w:szCs w:val="32"/>
        </w:rPr>
        <w:t>支出</w:t>
      </w:r>
      <w:r>
        <w:rPr>
          <w:rFonts w:ascii="仿宋" w:hAnsi="仿宋" w:eastAsia="仿宋" w:cs="仿宋"/>
          <w:color w:val="000000"/>
          <w:sz w:val="32"/>
          <w:szCs w:val="32"/>
          <w:lang w:eastAsia="zh-CN"/>
        </w:rPr>
        <w:t>决算为</w:t>
      </w:r>
      <w:r>
        <w:rPr>
          <w:rFonts w:ascii="仿宋" w:hAnsi="仿宋" w:eastAsia="仿宋" w:cs="仿宋"/>
          <w:color w:val="000000"/>
          <w:sz w:val="32"/>
          <w:szCs w:val="32"/>
          <w:lang w:val="en-US" w:eastAsia="zh-CN"/>
        </w:rPr>
        <w:t>13.31</w:t>
      </w:r>
      <w:r>
        <w:rPr>
          <w:rFonts w:ascii="仿宋" w:hAnsi="仿宋" w:eastAsia="仿宋" w:cs="仿宋"/>
          <w:color w:val="000000"/>
          <w:sz w:val="32"/>
          <w:szCs w:val="32"/>
        </w:rPr>
        <w:t>万元，</w:t>
      </w:r>
      <w:r>
        <w:rPr>
          <w:rStyle w:val="14"/>
          <w:rFonts w:ascii="仿宋" w:hAnsi="仿宋" w:eastAsia="仿宋" w:cs="仿宋"/>
          <w:b w:val="0"/>
          <w:bCs/>
          <w:color w:val="000000"/>
          <w:sz w:val="32"/>
          <w:szCs w:val="32"/>
        </w:rPr>
        <w:t>完成预算</w:t>
      </w:r>
      <w:r>
        <w:rPr>
          <w:rStyle w:val="14"/>
          <w:rFonts w:ascii="仿宋" w:hAnsi="仿宋" w:eastAsia="仿宋" w:cs="仿宋"/>
          <w:b w:val="0"/>
          <w:bCs/>
          <w:color w:val="000000"/>
          <w:sz w:val="32"/>
          <w:szCs w:val="32"/>
          <w:lang w:val="en-US" w:eastAsia="zh-CN"/>
        </w:rPr>
        <w:t>100</w:t>
      </w:r>
      <w:r>
        <w:rPr>
          <w:rStyle w:val="14"/>
          <w:rFonts w:ascii="仿宋" w:hAnsi="仿宋" w:eastAsia="仿宋" w:cs="仿宋"/>
          <w:b w:val="0"/>
          <w:bCs/>
          <w:color w:val="000000"/>
          <w:sz w:val="32"/>
          <w:szCs w:val="32"/>
        </w:rPr>
        <w:t>%</w:t>
      </w:r>
      <w:r>
        <w:rPr>
          <w:rStyle w:val="14"/>
          <w:rFonts w:ascii="仿宋" w:hAnsi="仿宋" w:eastAsia="仿宋" w:cs="仿宋"/>
          <w:b w:val="0"/>
          <w:bCs/>
          <w:color w:val="000000"/>
          <w:sz w:val="32"/>
          <w:szCs w:val="32"/>
          <w:lang w:eastAsia="zh-CN"/>
        </w:rPr>
        <w:t>，</w:t>
      </w:r>
      <w:r>
        <w:rPr>
          <w:rStyle w:val="14"/>
          <w:rFonts w:ascii="仿宋" w:hAnsi="仿宋" w:eastAsia="仿宋" w:cs="仿宋"/>
          <w:b w:val="0"/>
          <w:bCs/>
          <w:color w:val="000000"/>
          <w:sz w:val="32"/>
          <w:szCs w:val="32"/>
        </w:rPr>
        <w:t>决算数</w:t>
      </w:r>
      <w:r>
        <w:rPr>
          <w:rStyle w:val="14"/>
          <w:rFonts w:ascii="仿宋" w:hAnsi="仿宋" w:eastAsia="仿宋" w:cs="仿宋"/>
          <w:b w:val="0"/>
          <w:bCs/>
          <w:color w:val="000000"/>
          <w:sz w:val="32"/>
          <w:szCs w:val="32"/>
          <w:lang w:eastAsia="zh-CN"/>
        </w:rPr>
        <w:t>等</w:t>
      </w:r>
      <w:r>
        <w:rPr>
          <w:rStyle w:val="14"/>
          <w:rFonts w:ascii="仿宋" w:hAnsi="仿宋" w:eastAsia="仿宋" w:cs="仿宋"/>
          <w:b w:val="0"/>
          <w:bCs/>
          <w:color w:val="000000"/>
          <w:sz w:val="32"/>
          <w:szCs w:val="32"/>
        </w:rPr>
        <w:t>于预算数。</w:t>
      </w:r>
    </w:p>
    <w:p>
      <w:pPr>
        <w:numPr>
          <w:ilvl w:val="0"/>
          <w:numId w:val="0"/>
        </w:numPr>
        <w:tabs>
          <w:tab w:val="right" w:pos="8306"/>
        </w:tabs>
        <w:spacing w:line="600" w:lineRule="exact"/>
        <w:outlineLvl w:val="1"/>
        <w:rPr>
          <w:rStyle w:val="13"/>
        </w:rPr>
      </w:pPr>
      <w:r>
        <w:rPr>
          <w:rFonts w:ascii="黑体" w:hAnsi="黑体" w:eastAsia="黑体"/>
          <w:color w:val="000000"/>
          <w:sz w:val="32"/>
          <w:szCs w:val="32"/>
        </w:rPr>
        <w:t>六</w:t>
      </w:r>
      <w:r>
        <w:rPr>
          <w:rFonts w:ascii="黑体" w:hAnsi="黑体" w:eastAsia="黑体"/>
          <w:b/>
          <w:color w:val="000000"/>
          <w:sz w:val="32"/>
          <w:szCs w:val="32"/>
        </w:rPr>
        <w:t>、</w:t>
      </w:r>
      <w:r>
        <w:rPr>
          <w:rFonts w:ascii="黑体" w:hAnsi="黑体" w:eastAsia="黑体" w:cs="黑体"/>
          <w:b/>
          <w:color w:val="000000"/>
          <w:sz w:val="32"/>
          <w:szCs w:val="32"/>
        </w:rPr>
        <w:t>一</w:t>
      </w:r>
      <w:r>
        <w:rPr>
          <w:rStyle w:val="13"/>
          <w:rFonts w:ascii="黑体" w:hAnsi="黑体" w:eastAsia="黑体" w:cs="黑体"/>
          <w:b w:val="0"/>
        </w:rPr>
        <w:t>般公共预算财政拨款基本支出决算情况说明</w:t>
      </w:r>
      <w:r>
        <w:rPr>
          <w:rStyle w:val="13"/>
          <w:rFonts w:ascii="黑体" w:hAnsi="黑体" w:eastAsia="黑体" w:cs="黑体"/>
          <w:b w:val="0"/>
        </w:rPr>
        <w:tab/>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t>2020年一般公共预算财政拨款基本支出</w:t>
      </w:r>
      <w:r>
        <w:rPr>
          <w:rFonts w:ascii="仿宋" w:hAnsi="仿宋" w:eastAsia="仿宋" w:cs="仿宋"/>
          <w:color w:val="000000"/>
          <w:sz w:val="32"/>
          <w:szCs w:val="32"/>
          <w:lang w:val="en-US" w:eastAsia="zh-CN"/>
        </w:rPr>
        <w:t>274.36</w:t>
      </w:r>
      <w:r>
        <w:rPr>
          <w:rFonts w:ascii="仿宋" w:hAnsi="仿宋" w:eastAsia="仿宋" w:cs="仿宋"/>
          <w:color w:val="000000"/>
          <w:sz w:val="32"/>
          <w:szCs w:val="32"/>
        </w:rPr>
        <w:t>万元，其中：</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t>人员经费</w:t>
      </w:r>
      <w:r>
        <w:rPr>
          <w:rFonts w:ascii="仿宋" w:hAnsi="仿宋" w:eastAsia="仿宋" w:cs="仿宋"/>
          <w:color w:val="000000"/>
          <w:sz w:val="32"/>
          <w:szCs w:val="32"/>
          <w:lang w:val="en-US" w:eastAsia="zh-CN"/>
        </w:rPr>
        <w:t>260.11</w:t>
      </w:r>
      <w:r>
        <w:rPr>
          <w:rFonts w:ascii="仿宋" w:hAnsi="仿宋" w:eastAsia="仿宋" w:cs="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s="仿宋"/>
          <w:color w:val="000000"/>
          <w:sz w:val="32"/>
          <w:szCs w:val="32"/>
        </w:rPr>
        <w:br w:type="textWrapping"/>
      </w:r>
      <w:r>
        <w:rPr>
          <w:rFonts w:ascii="仿宋" w:hAnsi="仿宋" w:eastAsia="仿宋" w:cs="仿宋"/>
          <w:color w:val="000000"/>
          <w:sz w:val="32"/>
          <w:szCs w:val="32"/>
        </w:rPr>
        <w:t>　　日常公用经费</w:t>
      </w:r>
      <w:r>
        <w:rPr>
          <w:rFonts w:ascii="仿宋" w:hAnsi="仿宋" w:eastAsia="仿宋" w:cs="仿宋"/>
          <w:color w:val="000000"/>
          <w:sz w:val="32"/>
          <w:szCs w:val="32"/>
          <w:lang w:val="en-US" w:eastAsia="zh-CN"/>
        </w:rPr>
        <w:t>14.26</w:t>
      </w:r>
      <w:r>
        <w:rPr>
          <w:rFonts w:ascii="仿宋" w:hAnsi="仿宋" w:eastAsia="仿宋" w:cs="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rPr>
          <w:rFonts w:ascii="仿宋" w:hAnsi="仿宋" w:eastAsia="仿宋" w:cs="仿宋"/>
          <w:b/>
          <w:color w:val="FF0000"/>
          <w:sz w:val="32"/>
          <w:szCs w:val="32"/>
        </w:rPr>
      </w:pPr>
      <w:r>
        <w:rPr>
          <w:rFonts w:ascii="仿宋" w:hAnsi="仿宋" w:eastAsia="仿宋" w:cs="仿宋"/>
          <w:b/>
          <w:color w:val="FF0000"/>
          <w:sz w:val="32"/>
          <w:szCs w:val="32"/>
        </w:rPr>
        <w:t>（注：数据来源于财决07表，根据本部门实际支出情况罗列全部经济分类科目。）</w:t>
      </w:r>
    </w:p>
    <w:p>
      <w:pPr>
        <w:spacing w:line="600" w:lineRule="exact"/>
        <w:rPr>
          <w:rFonts w:ascii="仿宋" w:hAnsi="仿宋" w:eastAsia="仿宋" w:cs="仿宋"/>
          <w:b/>
          <w:color w:val="FF0000"/>
          <w:sz w:val="32"/>
          <w:szCs w:val="32"/>
        </w:rPr>
      </w:pPr>
    </w:p>
    <w:p>
      <w:pPr>
        <w:numPr>
          <w:ilvl w:val="0"/>
          <w:numId w:val="0"/>
        </w:numPr>
        <w:spacing w:line="600" w:lineRule="exact"/>
        <w:outlineLvl w:val="1"/>
        <w:rPr>
          <w:rStyle w:val="13"/>
          <w:rFonts w:ascii="黑体" w:hAnsi="黑体" w:eastAsia="黑体" w:cs="黑体"/>
          <w:b w:val="0"/>
        </w:rPr>
      </w:pPr>
      <w:r>
        <w:rPr>
          <w:rFonts w:ascii="黑体" w:hAnsi="黑体" w:eastAsia="黑体"/>
          <w:color w:val="000000"/>
          <w:sz w:val="32"/>
          <w:szCs w:val="32"/>
        </w:rPr>
        <w:t>七、</w:t>
      </w:r>
      <w:r>
        <w:rPr>
          <w:rStyle w:val="13"/>
          <w:rFonts w:ascii="黑体" w:hAnsi="黑体" w:eastAsia="黑体" w:cs="黑体"/>
        </w:rPr>
        <w:t>“</w:t>
      </w:r>
      <w:r>
        <w:rPr>
          <w:rStyle w:val="13"/>
          <w:rFonts w:ascii="黑体" w:hAnsi="黑体" w:eastAsia="黑体" w:cs="黑体"/>
          <w:b w:val="0"/>
        </w:rPr>
        <w:t>三公”经费财政拨款支出决算情况说明</w:t>
      </w:r>
    </w:p>
    <w:p>
      <w:pPr>
        <w:numPr>
          <w:ilvl w:val="0"/>
          <w:numId w:val="0"/>
        </w:numPr>
        <w:spacing w:line="600" w:lineRule="exact"/>
        <w:outlineLvl w:val="2"/>
        <w:rPr>
          <w:rFonts w:ascii="仿宋" w:hAnsi="仿宋" w:eastAsia="仿宋" w:cs="仿宋"/>
          <w:b/>
          <w:color w:val="000000"/>
          <w:sz w:val="32"/>
          <w:szCs w:val="32"/>
        </w:rPr>
      </w:pPr>
      <w:r>
        <w:rPr>
          <w:rFonts w:ascii="仿宋" w:hAnsi="仿宋" w:eastAsia="仿宋" w:cs="仿宋"/>
          <w:b/>
          <w:color w:val="000000"/>
          <w:sz w:val="32"/>
          <w:szCs w:val="32"/>
        </w:rPr>
        <w:t>（一）“三公”经费财政拨款支出决算总体情况说明</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t>2020年“三公”经费财政拨款支出决算为</w:t>
      </w:r>
      <w:r>
        <w:rPr>
          <w:rFonts w:ascii="仿宋" w:hAnsi="仿宋" w:eastAsia="仿宋" w:cs="仿宋"/>
          <w:color w:val="000000"/>
          <w:sz w:val="32"/>
          <w:szCs w:val="32"/>
          <w:lang w:val="en-US" w:eastAsia="zh-CN"/>
        </w:rPr>
        <w:t>11.42</w:t>
      </w:r>
      <w:r>
        <w:rPr>
          <w:rFonts w:ascii="仿宋" w:hAnsi="仿宋" w:eastAsia="仿宋" w:cs="仿宋"/>
          <w:color w:val="000000"/>
          <w:sz w:val="32"/>
          <w:szCs w:val="32"/>
        </w:rPr>
        <w:t>万元，完成预算</w:t>
      </w:r>
      <w:r>
        <w:rPr>
          <w:rFonts w:ascii="仿宋" w:hAnsi="仿宋" w:eastAsia="仿宋" w:cs="仿宋"/>
          <w:color w:val="000000"/>
          <w:sz w:val="32"/>
          <w:szCs w:val="32"/>
          <w:lang w:val="en-US" w:eastAsia="zh-CN"/>
        </w:rPr>
        <w:t>95</w:t>
      </w:r>
      <w:r>
        <w:rPr>
          <w:rFonts w:ascii="仿宋" w:hAnsi="仿宋" w:eastAsia="仿宋" w:cs="仿宋"/>
          <w:color w:val="000000"/>
          <w:sz w:val="32"/>
          <w:szCs w:val="32"/>
        </w:rPr>
        <w:t>%，决算数小于预算数的主要原因是</w:t>
      </w:r>
      <w:r>
        <w:rPr>
          <w:rFonts w:ascii="仿宋" w:hAnsi="仿宋" w:eastAsia="仿宋" w:cs="仿宋"/>
          <w:color w:val="000000"/>
          <w:sz w:val="32"/>
          <w:szCs w:val="32"/>
          <w:lang w:eastAsia="zh-CN"/>
        </w:rPr>
        <w:t>节约开支</w:t>
      </w:r>
      <w:r>
        <w:rPr>
          <w:rFonts w:ascii="仿宋" w:hAnsi="仿宋" w:eastAsia="仿宋" w:cs="仿宋"/>
          <w:color w:val="000000"/>
          <w:sz w:val="32"/>
          <w:szCs w:val="32"/>
        </w:rPr>
        <w:t>。</w:t>
      </w:r>
    </w:p>
    <w:p>
      <w:pPr>
        <w:spacing w:line="600" w:lineRule="exact"/>
        <w:rPr>
          <w:rFonts w:ascii="仿宋" w:hAnsi="仿宋" w:eastAsia="仿宋" w:cs="仿宋"/>
          <w:b/>
          <w:color w:val="FF0000"/>
          <w:sz w:val="32"/>
          <w:szCs w:val="32"/>
        </w:rPr>
      </w:pPr>
      <w:r>
        <w:rPr>
          <w:rFonts w:ascii="仿宋" w:hAnsi="仿宋" w:eastAsia="仿宋" w:cs="仿宋"/>
          <w:b/>
          <w:color w:val="FF0000"/>
          <w:sz w:val="32"/>
          <w:szCs w:val="32"/>
        </w:rPr>
        <w:t>（注：上述“预算”口径为调整预算数，包括政府性基金支出决算情况。）</w:t>
      </w:r>
    </w:p>
    <w:p>
      <w:pPr>
        <w:numPr>
          <w:ilvl w:val="0"/>
          <w:numId w:val="0"/>
        </w:numPr>
        <w:spacing w:line="600" w:lineRule="exact"/>
        <w:outlineLvl w:val="2"/>
        <w:rPr>
          <w:rFonts w:ascii="仿宋" w:hAnsi="仿宋" w:eastAsia="仿宋" w:cs="仿宋"/>
          <w:b/>
          <w:color w:val="000000"/>
          <w:sz w:val="32"/>
          <w:szCs w:val="32"/>
        </w:rPr>
      </w:pPr>
      <w:r>
        <w:rPr>
          <w:rFonts w:ascii="仿宋" w:hAnsi="仿宋" w:eastAsia="仿宋" w:cs="仿宋"/>
          <w:b/>
          <w:color w:val="000000"/>
          <w:sz w:val="32"/>
          <w:szCs w:val="32"/>
        </w:rPr>
        <w:t>（二）“三公”经费财政拨款支出决算具体情况说明</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t>2020年“三公”经费财政拨款支出决算中，因公出国（境）费支出决算</w:t>
      </w:r>
      <w:r>
        <w:rPr>
          <w:rFonts w:ascii="仿宋" w:hAnsi="仿宋" w:eastAsia="仿宋" w:cs="仿宋"/>
          <w:color w:val="000000"/>
          <w:sz w:val="32"/>
          <w:szCs w:val="32"/>
          <w:lang w:val="en-US" w:eastAsia="zh-CN"/>
        </w:rPr>
        <w:t>0</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0</w:t>
      </w:r>
      <w:r>
        <w:rPr>
          <w:rFonts w:ascii="仿宋" w:hAnsi="仿宋" w:eastAsia="仿宋" w:cs="仿宋"/>
          <w:color w:val="000000"/>
          <w:sz w:val="32"/>
          <w:szCs w:val="32"/>
        </w:rPr>
        <w:t>%；公务用车购置及运行维护费支出决算</w:t>
      </w:r>
      <w:r>
        <w:rPr>
          <w:rFonts w:ascii="仿宋" w:hAnsi="仿宋" w:eastAsia="仿宋" w:cs="仿宋"/>
          <w:color w:val="000000"/>
          <w:sz w:val="32"/>
          <w:szCs w:val="32"/>
          <w:lang w:val="en-US" w:eastAsia="zh-CN"/>
        </w:rPr>
        <w:t>10.45</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92</w:t>
      </w:r>
      <w:r>
        <w:rPr>
          <w:rFonts w:ascii="仿宋" w:hAnsi="仿宋" w:eastAsia="仿宋" w:cs="仿宋"/>
          <w:color w:val="000000"/>
          <w:sz w:val="32"/>
          <w:szCs w:val="32"/>
        </w:rPr>
        <w:t>%；公务接待费支出决算</w:t>
      </w:r>
      <w:r>
        <w:rPr>
          <w:rFonts w:ascii="仿宋" w:hAnsi="仿宋" w:eastAsia="仿宋" w:cs="仿宋"/>
          <w:color w:val="000000"/>
          <w:sz w:val="32"/>
          <w:szCs w:val="32"/>
          <w:lang w:val="en-US" w:eastAsia="zh-CN"/>
        </w:rPr>
        <w:t>0.97</w:t>
      </w:r>
      <w:r>
        <w:rPr>
          <w:rFonts w:ascii="仿宋" w:hAnsi="仿宋" w:eastAsia="仿宋" w:cs="仿宋"/>
          <w:color w:val="000000"/>
          <w:sz w:val="32"/>
          <w:szCs w:val="32"/>
        </w:rPr>
        <w:t>万元，占</w:t>
      </w:r>
      <w:r>
        <w:rPr>
          <w:rFonts w:ascii="仿宋" w:hAnsi="仿宋" w:eastAsia="仿宋" w:cs="仿宋"/>
          <w:color w:val="000000"/>
          <w:sz w:val="32"/>
          <w:szCs w:val="32"/>
          <w:lang w:val="en-US" w:eastAsia="zh-CN"/>
        </w:rPr>
        <w:t>8</w:t>
      </w:r>
      <w:r>
        <w:rPr>
          <w:rFonts w:ascii="仿宋" w:hAnsi="仿宋" w:eastAsia="仿宋" w:cs="仿宋"/>
          <w:color w:val="000000"/>
          <w:sz w:val="32"/>
          <w:szCs w:val="32"/>
        </w:rPr>
        <w:t>%。具体情况如下：</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t>（图7：“三公”经费财政拨款支出结构）（饼状图）</w:t>
      </w:r>
    </w:p>
    <w:p>
      <w:pPr>
        <w:spacing w:line="600" w:lineRule="exact"/>
        <w:rPr>
          <w:rFonts w:ascii="仿宋" w:hAnsi="仿宋" w:eastAsia="仿宋" w:cs="仿宋"/>
          <w:color w:val="000000"/>
          <w:sz w:val="32"/>
          <w:szCs w:val="32"/>
        </w:rPr>
      </w:pPr>
      <w:r>
        <w:rPr>
          <w:rFonts w:ascii="仿宋" w:hAnsi="仿宋" w:eastAsia="仿宋" w:cs="仿宋"/>
          <w:color w:val="000000"/>
          <w:sz w:val="32"/>
          <w:szCs w:val="32"/>
        </w:rPr>
        <w:drawing>
          <wp:anchor distT="0" distB="0" distL="114935" distR="114935" simplePos="0" relativeHeight="251659264" behindDoc="0" locked="0" layoutInCell="0" allowOverlap="1">
            <wp:simplePos x="0" y="0"/>
            <wp:positionH relativeFrom="column">
              <wp:posOffset>130175</wp:posOffset>
            </wp:positionH>
            <wp:positionV relativeFrom="paragraph">
              <wp:posOffset>38100</wp:posOffset>
            </wp:positionV>
            <wp:extent cx="4591050" cy="2762250"/>
            <wp:effectExtent l="0" t="0" r="0" b="0"/>
            <wp:wrapSquare wrapText="bothSides"/>
            <wp:docPr id="7" name="图表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表 8"/>
                    <pic:cNvPicPr>
                      <a:picLocks noChangeAspect="1" noChangeArrowheads="1"/>
                    </pic:cNvPicPr>
                  </pic:nvPicPr>
                  <pic:blipFill>
                    <a:blip r:embed="rId14"/>
                    <a:srcRect l="-8" t="-13" r="-8" b="-13"/>
                    <a:stretch>
                      <a:fillRect/>
                    </a:stretch>
                  </pic:blipFill>
                  <pic:spPr>
                    <a:xfrm>
                      <a:off x="0" y="0"/>
                      <a:ext cx="4591050" cy="2762250"/>
                    </a:xfrm>
                    <a:prstGeom prst="rect">
                      <a:avLst/>
                    </a:prstGeom>
                  </pic:spPr>
                </pic:pic>
              </a:graphicData>
            </a:graphic>
          </wp:anchor>
        </w:drawing>
      </w: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_GB2312;仿宋" w:hAnsi="仿宋_GB2312;仿宋" w:eastAsia="仿宋_GB2312;仿宋"/>
          <w:b/>
          <w:color w:val="000000"/>
          <w:sz w:val="32"/>
          <w:szCs w:val="32"/>
        </w:rPr>
      </w:pPr>
      <w:r>
        <w:rPr>
          <w:rFonts w:ascii="仿宋_GB2312;仿宋" w:hAnsi="仿宋_GB2312;仿宋" w:eastAsia="仿宋_GB2312;仿宋"/>
          <w:b/>
          <w:color w:val="000000"/>
          <w:sz w:val="32"/>
          <w:szCs w:val="32"/>
        </w:rPr>
        <w:t>1.因公出国（境）经费支出</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w:t>
      </w:r>
      <w:r>
        <w:rPr>
          <w:rStyle w:val="14"/>
          <w:rFonts w:ascii="仿宋" w:hAnsi="仿宋" w:eastAsia="仿宋" w:cs="仿宋"/>
          <w:b w:val="0"/>
          <w:bCs/>
          <w:color w:val="000000"/>
          <w:sz w:val="32"/>
          <w:szCs w:val="32"/>
        </w:rPr>
        <w:t>完成预算</w:t>
      </w:r>
      <w:r>
        <w:rPr>
          <w:rStyle w:val="14"/>
          <w:rFonts w:ascii="仿宋" w:hAnsi="仿宋" w:eastAsia="仿宋" w:cs="仿宋"/>
          <w:b w:val="0"/>
          <w:bCs/>
          <w:color w:val="000000"/>
          <w:sz w:val="32"/>
          <w:szCs w:val="32"/>
          <w:lang w:val="en-US" w:eastAsia="zh-CN"/>
        </w:rPr>
        <w:t>0</w:t>
      </w:r>
      <w:r>
        <w:rPr>
          <w:rStyle w:val="14"/>
          <w:rFonts w:ascii="仿宋" w:hAnsi="仿宋" w:eastAsia="仿宋" w:cs="仿宋"/>
          <w:b w:val="0"/>
          <w:bCs/>
          <w:color w:val="000000"/>
          <w:sz w:val="32"/>
          <w:szCs w:val="32"/>
        </w:rPr>
        <w:t>%。</w:t>
      </w:r>
      <w:r>
        <w:rPr>
          <w:rFonts w:ascii="仿宋_GB2312;仿宋" w:hAnsi="仿宋_GB2312;仿宋" w:eastAsia="仿宋_GB2312;仿宋"/>
          <w:color w:val="000000"/>
          <w:sz w:val="32"/>
          <w:szCs w:val="32"/>
        </w:rPr>
        <w:t>全年安排因公出国（境）团组</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次，出国（境）</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人。因公出国（境）支出决算比2018年增加/减少</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万元，增长/下降</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w:t>
      </w:r>
    </w:p>
    <w:p>
      <w:pPr>
        <w:spacing w:line="600" w:lineRule="exact"/>
        <w:rPr>
          <w:rFonts w:ascii="仿宋_GB2312;仿宋" w:hAnsi="仿宋_GB2312;仿宋" w:eastAsia="仿宋_GB2312;仿宋"/>
          <w:b/>
          <w:color w:val="000000"/>
          <w:sz w:val="32"/>
          <w:szCs w:val="32"/>
        </w:rPr>
      </w:pPr>
      <w:r>
        <w:rPr>
          <w:rFonts w:ascii="仿宋_GB2312;仿宋" w:hAnsi="仿宋_GB2312;仿宋" w:eastAsia="仿宋_GB2312;仿宋"/>
          <w:b/>
          <w:color w:val="000000"/>
          <w:sz w:val="32"/>
          <w:szCs w:val="32"/>
        </w:rPr>
        <w:t>2.公务用车购置及运行维护费支出</w:t>
      </w:r>
      <w:r>
        <w:rPr>
          <w:rFonts w:ascii="仿宋_GB2312;仿宋" w:hAnsi="仿宋_GB2312;仿宋" w:eastAsia="仿宋_GB2312;仿宋"/>
          <w:color w:val="000000"/>
          <w:sz w:val="32"/>
          <w:szCs w:val="32"/>
          <w:lang w:val="en-US" w:eastAsia="zh-CN"/>
        </w:rPr>
        <w:t>10.45</w:t>
      </w:r>
      <w:r>
        <w:rPr>
          <w:rFonts w:ascii="仿宋_GB2312;仿宋" w:hAnsi="仿宋_GB2312;仿宋" w:eastAsia="仿宋_GB2312;仿宋"/>
          <w:color w:val="000000"/>
          <w:sz w:val="32"/>
          <w:szCs w:val="32"/>
        </w:rPr>
        <w:t>万元,</w:t>
      </w:r>
      <w:r>
        <w:rPr>
          <w:rStyle w:val="14"/>
          <w:rFonts w:ascii="仿宋" w:hAnsi="仿宋" w:eastAsia="仿宋" w:cs="仿宋"/>
          <w:b w:val="0"/>
          <w:bCs/>
          <w:color w:val="000000"/>
          <w:sz w:val="32"/>
          <w:szCs w:val="32"/>
        </w:rPr>
        <w:t>完成预算</w:t>
      </w:r>
      <w:r>
        <w:rPr>
          <w:rStyle w:val="14"/>
          <w:rFonts w:ascii="仿宋" w:hAnsi="仿宋" w:eastAsia="仿宋" w:cs="仿宋"/>
          <w:b w:val="0"/>
          <w:bCs/>
          <w:color w:val="000000"/>
          <w:sz w:val="32"/>
          <w:szCs w:val="32"/>
          <w:lang w:val="en-US" w:eastAsia="zh-CN"/>
        </w:rPr>
        <w:t>95</w:t>
      </w:r>
      <w:r>
        <w:rPr>
          <w:rStyle w:val="14"/>
          <w:rFonts w:ascii="仿宋" w:hAnsi="仿宋" w:eastAsia="仿宋" w:cs="仿宋"/>
          <w:b w:val="0"/>
          <w:bCs/>
          <w:color w:val="000000"/>
          <w:sz w:val="32"/>
          <w:szCs w:val="32"/>
        </w:rPr>
        <w:t>%。</w:t>
      </w:r>
      <w:r>
        <w:rPr>
          <w:rFonts w:ascii="仿宋_GB2312;仿宋" w:hAnsi="仿宋_GB2312;仿宋" w:eastAsia="仿宋_GB2312;仿宋"/>
          <w:color w:val="000000"/>
          <w:sz w:val="32"/>
          <w:szCs w:val="32"/>
        </w:rPr>
        <w:t>公务用车购置及运行维护费支出决算比2018年减少</w:t>
      </w:r>
      <w:r>
        <w:rPr>
          <w:rFonts w:ascii="仿宋_GB2312;仿宋" w:hAnsi="仿宋_GB2312;仿宋" w:eastAsia="仿宋_GB2312;仿宋"/>
          <w:color w:val="000000"/>
          <w:sz w:val="32"/>
          <w:szCs w:val="32"/>
          <w:lang w:val="en-US" w:eastAsia="zh-CN"/>
        </w:rPr>
        <w:t>2.27</w:t>
      </w:r>
      <w:r>
        <w:rPr>
          <w:rFonts w:ascii="仿宋_GB2312;仿宋" w:hAnsi="仿宋_GB2312;仿宋" w:eastAsia="仿宋_GB2312;仿宋"/>
          <w:color w:val="000000"/>
          <w:sz w:val="32"/>
          <w:szCs w:val="32"/>
        </w:rPr>
        <w:t>万元，下降</w:t>
      </w:r>
      <w:r>
        <w:rPr>
          <w:rFonts w:ascii="仿宋_GB2312;仿宋" w:hAnsi="仿宋_GB2312;仿宋" w:eastAsia="仿宋_GB2312;仿宋"/>
          <w:color w:val="000000"/>
          <w:sz w:val="32"/>
          <w:szCs w:val="32"/>
          <w:lang w:val="en-US" w:eastAsia="zh-CN"/>
        </w:rPr>
        <w:t>18</w:t>
      </w:r>
      <w:r>
        <w:rPr>
          <w:rFonts w:ascii="仿宋_GB2312;仿宋" w:hAnsi="仿宋_GB2312;仿宋" w:eastAsia="仿宋_GB2312;仿宋"/>
          <w:color w:val="000000"/>
          <w:sz w:val="32"/>
          <w:szCs w:val="32"/>
        </w:rPr>
        <w:t>%。主要原因是</w:t>
      </w:r>
      <w:r>
        <w:rPr>
          <w:rFonts w:ascii="仿宋_GB2312;仿宋" w:hAnsi="仿宋_GB2312;仿宋" w:eastAsia="仿宋_GB2312;仿宋"/>
          <w:color w:val="000000"/>
          <w:sz w:val="32"/>
          <w:szCs w:val="32"/>
          <w:lang w:val="en" w:eastAsia="zh-CN"/>
        </w:rPr>
        <w:t>厉行节约</w:t>
      </w:r>
      <w:r>
        <w:rPr>
          <w:rFonts w:ascii="仿宋_GB2312;仿宋" w:hAnsi="仿宋_GB2312;仿宋" w:eastAsia="仿宋_GB2312;仿宋"/>
          <w:color w:val="000000"/>
          <w:sz w:val="32"/>
          <w:szCs w:val="32"/>
        </w:rPr>
        <w:t>。</w:t>
      </w:r>
    </w:p>
    <w:p>
      <w:pPr>
        <w:spacing w:line="600" w:lineRule="exact"/>
        <w:rPr>
          <w:rFonts w:ascii="仿宋_GB2312;仿宋" w:hAnsi="仿宋_GB2312;仿宋" w:eastAsia="仿宋_GB2312;仿宋"/>
          <w:b/>
          <w:color w:val="000000"/>
          <w:sz w:val="32"/>
          <w:szCs w:val="32"/>
        </w:rPr>
      </w:pPr>
      <w:r>
        <w:rPr>
          <w:rFonts w:ascii="仿宋_GB2312;仿宋" w:hAnsi="仿宋_GB2312;仿宋" w:eastAsia="仿宋_GB2312;仿宋"/>
          <w:color w:val="000000"/>
          <w:sz w:val="32"/>
          <w:szCs w:val="32"/>
        </w:rPr>
        <w:t>其中：</w:t>
      </w:r>
      <w:r>
        <w:rPr>
          <w:rFonts w:ascii="仿宋_GB2312;仿宋" w:hAnsi="仿宋_GB2312;仿宋" w:eastAsia="仿宋_GB2312;仿宋"/>
          <w:b/>
          <w:color w:val="000000"/>
          <w:sz w:val="32"/>
          <w:szCs w:val="32"/>
        </w:rPr>
        <w:t>公务用车购置支出</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万元。全年按规定更新购置公务用车</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辆，其中：轿车</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辆、金额</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万元，越野车</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辆、金额</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万元，载客汽车</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辆、金额</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万元。截至2020年12月底，单位共有公务用车</w:t>
      </w:r>
      <w:r>
        <w:rPr>
          <w:rFonts w:ascii="仿宋_GB2312;仿宋" w:hAnsi="仿宋_GB2312;仿宋" w:eastAsia="仿宋_GB2312;仿宋"/>
          <w:color w:val="000000"/>
          <w:sz w:val="32"/>
          <w:szCs w:val="32"/>
          <w:lang w:val="en-US" w:eastAsia="zh-CN"/>
        </w:rPr>
        <w:t>3</w:t>
      </w:r>
      <w:r>
        <w:rPr>
          <w:rFonts w:ascii="仿宋_GB2312;仿宋" w:hAnsi="仿宋_GB2312;仿宋" w:eastAsia="仿宋_GB2312;仿宋"/>
          <w:color w:val="000000"/>
          <w:sz w:val="32"/>
          <w:szCs w:val="32"/>
        </w:rPr>
        <w:t>辆，其中：轿车</w:t>
      </w:r>
      <w:r>
        <w:rPr>
          <w:rFonts w:ascii="仿宋_GB2312;仿宋" w:hAnsi="仿宋_GB2312;仿宋" w:eastAsia="仿宋_GB2312;仿宋"/>
          <w:color w:val="000000"/>
          <w:sz w:val="32"/>
          <w:szCs w:val="32"/>
          <w:lang w:val="en-US" w:eastAsia="zh-CN"/>
        </w:rPr>
        <w:t>1</w:t>
      </w:r>
      <w:r>
        <w:rPr>
          <w:rFonts w:ascii="仿宋_GB2312;仿宋" w:hAnsi="仿宋_GB2312;仿宋" w:eastAsia="仿宋_GB2312;仿宋"/>
          <w:color w:val="000000"/>
          <w:sz w:val="32"/>
          <w:szCs w:val="32"/>
        </w:rPr>
        <w:t>辆、越野车</w:t>
      </w:r>
      <w:r>
        <w:rPr>
          <w:rFonts w:ascii="仿宋_GB2312;仿宋" w:hAnsi="仿宋_GB2312;仿宋" w:eastAsia="仿宋_GB2312;仿宋"/>
          <w:color w:val="000000"/>
          <w:sz w:val="32"/>
          <w:szCs w:val="32"/>
          <w:lang w:val="en-US" w:eastAsia="zh-CN"/>
        </w:rPr>
        <w:t>1</w:t>
      </w:r>
      <w:r>
        <w:rPr>
          <w:rFonts w:ascii="仿宋_GB2312;仿宋" w:hAnsi="仿宋_GB2312;仿宋" w:eastAsia="仿宋_GB2312;仿宋"/>
          <w:color w:val="000000"/>
          <w:sz w:val="32"/>
          <w:szCs w:val="32"/>
        </w:rPr>
        <w:t>辆、载客汽车</w:t>
      </w:r>
      <w:r>
        <w:rPr>
          <w:rFonts w:ascii="仿宋_GB2312;仿宋" w:hAnsi="仿宋_GB2312;仿宋" w:eastAsia="仿宋_GB2312;仿宋"/>
          <w:color w:val="000000"/>
          <w:sz w:val="32"/>
          <w:szCs w:val="32"/>
          <w:lang w:val="en-US" w:eastAsia="zh-CN"/>
        </w:rPr>
        <w:t>1</w:t>
      </w:r>
      <w:r>
        <w:rPr>
          <w:rFonts w:ascii="仿宋_GB2312;仿宋" w:hAnsi="仿宋_GB2312;仿宋" w:eastAsia="仿宋_GB2312;仿宋"/>
          <w:color w:val="000000"/>
          <w:sz w:val="32"/>
          <w:szCs w:val="32"/>
        </w:rPr>
        <w:t>辆。</w:t>
      </w:r>
    </w:p>
    <w:p>
      <w:pPr>
        <w:spacing w:line="600" w:lineRule="exact"/>
        <w:rPr>
          <w:rFonts w:ascii="仿宋_GB2312;仿宋" w:hAnsi="仿宋_GB2312;仿宋" w:eastAsia="仿宋_GB2312;仿宋"/>
          <w:color w:val="000000"/>
          <w:sz w:val="32"/>
          <w:szCs w:val="32"/>
        </w:rPr>
      </w:pPr>
      <w:r>
        <w:rPr>
          <w:rFonts w:ascii="仿宋_GB2312;仿宋" w:hAnsi="仿宋_GB2312;仿宋" w:eastAsia="仿宋_GB2312;仿宋"/>
          <w:b/>
          <w:color w:val="000000"/>
          <w:sz w:val="32"/>
          <w:szCs w:val="32"/>
        </w:rPr>
        <w:t>公务用车运行维护费支出</w:t>
      </w:r>
      <w:r>
        <w:rPr>
          <w:rFonts w:ascii="仿宋_GB2312;仿宋" w:hAnsi="仿宋_GB2312;仿宋" w:eastAsia="仿宋_GB2312;仿宋"/>
          <w:color w:val="000000"/>
          <w:sz w:val="32"/>
          <w:szCs w:val="32"/>
          <w:lang w:val="en-US" w:eastAsia="zh-CN"/>
        </w:rPr>
        <w:t>10.45</w:t>
      </w:r>
      <w:r>
        <w:rPr>
          <w:rFonts w:ascii="仿宋_GB2312;仿宋" w:hAnsi="仿宋_GB2312;仿宋" w:eastAsia="仿宋_GB2312;仿宋"/>
          <w:color w:val="000000"/>
          <w:sz w:val="32"/>
          <w:szCs w:val="32"/>
        </w:rPr>
        <w:t>万元。（</w:t>
      </w:r>
      <w:r>
        <w:rPr>
          <w:rFonts w:ascii="仿宋_GB2312;仿宋" w:hAnsi="仿宋_GB2312;仿宋" w:eastAsia="仿宋_GB2312;仿宋"/>
          <w:color w:val="000000"/>
          <w:sz w:val="32"/>
          <w:szCs w:val="32"/>
          <w:lang w:eastAsia="zh-CN"/>
        </w:rPr>
        <w:t>全区开展五治、铁路沿线环境治理、垃圾治理、污水治理、社区环境治理等全区城乡环境综合治理工作督查</w:t>
      </w:r>
      <w:r>
        <w:rPr>
          <w:rFonts w:ascii="仿宋_GB2312;仿宋" w:hAnsi="仿宋_GB2312;仿宋" w:eastAsia="仿宋_GB2312;仿宋"/>
          <w:color w:val="000000"/>
          <w:sz w:val="32"/>
          <w:szCs w:val="32"/>
        </w:rPr>
        <w:t>）等所需的公务用车燃料费、维修费、过路过桥费、保险费等支出。</w:t>
      </w:r>
    </w:p>
    <w:p>
      <w:pPr>
        <w:spacing w:line="600" w:lineRule="exact"/>
        <w:rPr>
          <w:rFonts w:ascii="仿宋_GB2312;仿宋" w:hAnsi="仿宋_GB2312;仿宋" w:eastAsia="仿宋_GB2312;仿宋"/>
          <w:color w:val="000000"/>
          <w:sz w:val="32"/>
          <w:szCs w:val="32"/>
        </w:rPr>
      </w:pPr>
      <w:r>
        <w:rPr>
          <w:rFonts w:ascii="仿宋_GB2312;仿宋" w:hAnsi="仿宋_GB2312;仿宋" w:eastAsia="仿宋_GB2312;仿宋"/>
          <w:b/>
          <w:color w:val="000000"/>
          <w:sz w:val="32"/>
          <w:szCs w:val="32"/>
        </w:rPr>
        <w:t>3.公务接待费支出</w:t>
      </w:r>
      <w:r>
        <w:rPr>
          <w:rFonts w:ascii="仿宋_GB2312;仿宋" w:hAnsi="仿宋_GB2312;仿宋" w:eastAsia="仿宋_GB2312;仿宋"/>
          <w:color w:val="000000"/>
          <w:sz w:val="32"/>
          <w:szCs w:val="32"/>
          <w:lang w:val="en-US" w:eastAsia="zh-CN"/>
        </w:rPr>
        <w:t>0.97</w:t>
      </w:r>
      <w:r>
        <w:rPr>
          <w:rFonts w:ascii="仿宋_GB2312;仿宋" w:hAnsi="仿宋_GB2312;仿宋" w:eastAsia="仿宋_GB2312;仿宋"/>
          <w:color w:val="000000"/>
          <w:sz w:val="32"/>
          <w:szCs w:val="32"/>
        </w:rPr>
        <w:t>万元，</w:t>
      </w:r>
      <w:r>
        <w:rPr>
          <w:rStyle w:val="14"/>
          <w:rFonts w:ascii="仿宋" w:hAnsi="仿宋" w:eastAsia="仿宋" w:cs="仿宋"/>
          <w:b w:val="0"/>
          <w:bCs/>
          <w:color w:val="000000"/>
          <w:sz w:val="32"/>
          <w:szCs w:val="32"/>
        </w:rPr>
        <w:t>完成预算</w:t>
      </w:r>
      <w:r>
        <w:rPr>
          <w:rStyle w:val="14"/>
          <w:rFonts w:ascii="仿宋" w:hAnsi="仿宋" w:eastAsia="仿宋" w:cs="仿宋"/>
          <w:b w:val="0"/>
          <w:bCs/>
          <w:color w:val="000000"/>
          <w:sz w:val="32"/>
          <w:szCs w:val="32"/>
          <w:lang w:val="en-US" w:eastAsia="zh-CN"/>
        </w:rPr>
        <w:t>97</w:t>
      </w:r>
      <w:r>
        <w:rPr>
          <w:rStyle w:val="14"/>
          <w:rFonts w:ascii="仿宋" w:hAnsi="仿宋" w:eastAsia="仿宋" w:cs="仿宋"/>
          <w:b w:val="0"/>
          <w:bCs/>
          <w:color w:val="000000"/>
          <w:sz w:val="32"/>
          <w:szCs w:val="32"/>
        </w:rPr>
        <w:t>%。</w:t>
      </w:r>
      <w:r>
        <w:rPr>
          <w:rFonts w:ascii="仿宋_GB2312;仿宋" w:hAnsi="仿宋_GB2312;仿宋" w:eastAsia="仿宋_GB2312;仿宋"/>
          <w:color w:val="000000"/>
          <w:sz w:val="32"/>
          <w:szCs w:val="32"/>
        </w:rPr>
        <w:t>公务接待费支出决算比2019年减少</w:t>
      </w:r>
      <w:r>
        <w:rPr>
          <w:rFonts w:ascii="仿宋_GB2312;仿宋" w:hAnsi="仿宋_GB2312;仿宋" w:eastAsia="仿宋_GB2312;仿宋"/>
          <w:color w:val="000000"/>
          <w:sz w:val="32"/>
          <w:szCs w:val="32"/>
          <w:lang w:val="en-US" w:eastAsia="zh-CN"/>
        </w:rPr>
        <w:t>1.73</w:t>
      </w:r>
      <w:r>
        <w:rPr>
          <w:rFonts w:ascii="仿宋_GB2312;仿宋" w:hAnsi="仿宋_GB2312;仿宋" w:eastAsia="仿宋_GB2312;仿宋"/>
          <w:color w:val="000000"/>
          <w:sz w:val="32"/>
          <w:szCs w:val="32"/>
        </w:rPr>
        <w:t>万元，下降</w:t>
      </w:r>
      <w:r>
        <w:rPr>
          <w:rFonts w:ascii="仿宋_GB2312;仿宋" w:hAnsi="仿宋_GB2312;仿宋" w:eastAsia="仿宋_GB2312;仿宋"/>
          <w:color w:val="000000"/>
          <w:sz w:val="32"/>
          <w:szCs w:val="32"/>
          <w:lang w:val="en-US" w:eastAsia="zh-CN"/>
        </w:rPr>
        <w:t>64</w:t>
      </w:r>
      <w:r>
        <w:rPr>
          <w:rFonts w:ascii="仿宋_GB2312;仿宋" w:hAnsi="仿宋_GB2312;仿宋" w:eastAsia="仿宋_GB2312;仿宋"/>
          <w:color w:val="000000"/>
          <w:sz w:val="32"/>
          <w:szCs w:val="32"/>
        </w:rPr>
        <w:t>%。主要原因是</w:t>
      </w:r>
      <w:r>
        <w:rPr>
          <w:rFonts w:ascii="仿宋_GB2312;仿宋" w:hAnsi="仿宋_GB2312;仿宋" w:eastAsia="仿宋_GB2312;仿宋"/>
          <w:color w:val="000000"/>
          <w:sz w:val="32"/>
          <w:szCs w:val="32"/>
          <w:lang w:val="en" w:eastAsia="zh-CN"/>
        </w:rPr>
        <w:t>厉行节约</w:t>
      </w:r>
      <w:r>
        <w:rPr>
          <w:rFonts w:ascii="仿宋_GB2312;仿宋" w:hAnsi="仿宋_GB2312;仿宋" w:eastAsia="仿宋_GB2312;仿宋"/>
          <w:color w:val="000000"/>
          <w:sz w:val="32"/>
          <w:szCs w:val="32"/>
        </w:rPr>
        <w:t>。其中：</w:t>
      </w:r>
    </w:p>
    <w:p>
      <w:pPr>
        <w:spacing w:line="600" w:lineRule="exact"/>
        <w:rPr>
          <w:rFonts w:ascii="仿宋_GB2312;仿宋" w:hAnsi="仿宋_GB2312;仿宋" w:eastAsia="仿宋_GB2312;仿宋"/>
          <w:color w:val="000000"/>
          <w:sz w:val="32"/>
          <w:szCs w:val="32"/>
          <w:lang w:eastAsia="zh-CN"/>
        </w:rPr>
      </w:pPr>
      <w:r>
        <w:rPr>
          <w:rFonts w:ascii="仿宋" w:hAnsi="仿宋" w:eastAsia="仿宋" w:cs="仿宋"/>
          <w:b/>
          <w:color w:val="000000"/>
          <w:sz w:val="32"/>
          <w:szCs w:val="32"/>
        </w:rPr>
        <w:t>国内公务接待支出</w:t>
      </w:r>
      <w:r>
        <w:rPr>
          <w:rFonts w:ascii="仿宋" w:hAnsi="仿宋" w:eastAsia="仿宋" w:cs="仿宋"/>
          <w:color w:val="000000"/>
          <w:sz w:val="32"/>
          <w:szCs w:val="32"/>
          <w:lang w:val="en-US" w:eastAsia="zh-CN"/>
        </w:rPr>
        <w:t>0.97</w:t>
      </w:r>
      <w:r>
        <w:rPr>
          <w:rFonts w:ascii="仿宋_GB2312;仿宋" w:hAnsi="仿宋_GB2312;仿宋" w:eastAsia="仿宋_GB2312;仿宋"/>
          <w:color w:val="000000"/>
          <w:sz w:val="32"/>
          <w:szCs w:val="32"/>
        </w:rPr>
        <w:t>万元，主要用于</w:t>
      </w:r>
      <w:r>
        <w:rPr>
          <w:rFonts w:ascii="仿宋_GB2312;仿宋" w:hAnsi="仿宋_GB2312;仿宋" w:eastAsia="仿宋_GB2312;仿宋"/>
          <w:color w:val="000000"/>
          <w:sz w:val="32"/>
          <w:szCs w:val="32"/>
          <w:lang w:eastAsia="zh-CN"/>
        </w:rPr>
        <w:t>市交叉检查</w:t>
      </w:r>
      <w:r>
        <w:rPr>
          <w:rFonts w:ascii="仿宋_GB2312;仿宋" w:hAnsi="仿宋_GB2312;仿宋" w:eastAsia="仿宋_GB2312;仿宋"/>
          <w:color w:val="000000"/>
          <w:sz w:val="32"/>
          <w:szCs w:val="32"/>
        </w:rPr>
        <w:t>国内公务接待</w:t>
      </w:r>
      <w:r>
        <w:rPr>
          <w:rFonts w:ascii="仿宋_GB2312;仿宋" w:hAnsi="仿宋_GB2312;仿宋" w:eastAsia="仿宋_GB2312;仿宋"/>
          <w:color w:val="000000"/>
          <w:sz w:val="32"/>
          <w:szCs w:val="32"/>
          <w:lang w:val="en-US" w:eastAsia="zh-CN"/>
        </w:rPr>
        <w:t>78</w:t>
      </w:r>
      <w:r>
        <w:rPr>
          <w:rFonts w:ascii="仿宋_GB2312;仿宋" w:hAnsi="仿宋_GB2312;仿宋" w:eastAsia="仿宋_GB2312;仿宋"/>
          <w:color w:val="000000"/>
          <w:sz w:val="32"/>
          <w:szCs w:val="32"/>
        </w:rPr>
        <w:t>批次，</w:t>
      </w:r>
      <w:r>
        <w:rPr>
          <w:rFonts w:ascii="仿宋_GB2312;仿宋" w:hAnsi="仿宋_GB2312;仿宋" w:eastAsia="仿宋_GB2312;仿宋"/>
          <w:color w:val="000000"/>
          <w:sz w:val="32"/>
          <w:szCs w:val="32"/>
          <w:lang w:val="en-US" w:eastAsia="zh-CN"/>
        </w:rPr>
        <w:t>243</w:t>
      </w:r>
      <w:r>
        <w:rPr>
          <w:rFonts w:ascii="仿宋_GB2312;仿宋" w:hAnsi="仿宋_GB2312;仿宋" w:eastAsia="仿宋_GB2312;仿宋"/>
          <w:color w:val="000000"/>
          <w:sz w:val="32"/>
          <w:szCs w:val="32"/>
        </w:rPr>
        <w:t>人次（不包括陪同人员），共计支出</w:t>
      </w:r>
      <w:r>
        <w:rPr>
          <w:rFonts w:ascii="仿宋_GB2312;仿宋" w:hAnsi="仿宋_GB2312;仿宋" w:eastAsia="仿宋_GB2312;仿宋"/>
          <w:color w:val="000000"/>
          <w:sz w:val="32"/>
          <w:szCs w:val="32"/>
          <w:lang w:val="en-US" w:eastAsia="zh-CN"/>
        </w:rPr>
        <w:t>0.97</w:t>
      </w:r>
      <w:r>
        <w:rPr>
          <w:rFonts w:ascii="仿宋_GB2312;仿宋" w:hAnsi="仿宋_GB2312;仿宋" w:eastAsia="仿宋_GB2312;仿宋"/>
          <w:color w:val="000000"/>
          <w:sz w:val="32"/>
          <w:szCs w:val="32"/>
        </w:rPr>
        <w:t>万元，具体内容包括：</w:t>
      </w:r>
      <w:r>
        <w:rPr>
          <w:rFonts w:ascii="仿宋_GB2312;仿宋" w:hAnsi="仿宋_GB2312;仿宋" w:eastAsia="仿宋_GB2312;仿宋"/>
          <w:color w:val="000000"/>
          <w:sz w:val="32"/>
          <w:szCs w:val="32"/>
          <w:lang w:eastAsia="zh-CN"/>
        </w:rPr>
        <w:t>接待市县交叉检查工作。</w:t>
      </w:r>
    </w:p>
    <w:p>
      <w:pPr>
        <w:spacing w:line="600" w:lineRule="exact"/>
        <w:rPr>
          <w:rFonts w:ascii="仿宋_GB2312;仿宋" w:hAnsi="仿宋_GB2312;仿宋" w:eastAsia="仿宋_GB2312;仿宋"/>
          <w:color w:val="000000"/>
          <w:sz w:val="32"/>
          <w:szCs w:val="32"/>
          <w:lang w:val="en-US" w:eastAsia="zh-CN"/>
        </w:rPr>
      </w:pPr>
      <w:r>
        <w:rPr>
          <w:rFonts w:ascii="仿宋" w:hAnsi="仿宋" w:eastAsia="仿宋" w:cs="仿宋"/>
          <w:b/>
          <w:color w:val="000000"/>
          <w:sz w:val="32"/>
          <w:szCs w:val="32"/>
        </w:rPr>
        <w:t>外事接待支出</w:t>
      </w:r>
      <w:r>
        <w:rPr>
          <w:rFonts w:ascii="仿宋" w:hAnsi="仿宋" w:eastAsia="仿宋" w:cs="仿宋"/>
          <w:b/>
          <w:color w:val="000000"/>
          <w:sz w:val="32"/>
          <w:szCs w:val="32"/>
          <w:lang w:val="en-US" w:eastAsia="zh-CN"/>
        </w:rPr>
        <w:t>0</w:t>
      </w:r>
      <w:r>
        <w:rPr>
          <w:rFonts w:ascii="仿宋_GB2312;仿宋" w:hAnsi="仿宋_GB2312;仿宋" w:eastAsia="仿宋_GB2312;仿宋"/>
          <w:color w:val="000000"/>
          <w:sz w:val="32"/>
          <w:szCs w:val="32"/>
        </w:rPr>
        <w:t>万元，外事接待</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批次，</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人，共计支出</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w:t>
      </w:r>
      <w:r>
        <w:rPr>
          <w:rFonts w:ascii="仿宋_GB2312;仿宋" w:hAnsi="仿宋_GB2312;仿宋" w:eastAsia="仿宋_GB2312;仿宋"/>
          <w:color w:val="000000"/>
          <w:sz w:val="32"/>
          <w:szCs w:val="32"/>
          <w:lang w:val="en-US" w:eastAsia="zh-CN"/>
        </w:rPr>
        <w:t>。</w:t>
      </w:r>
    </w:p>
    <w:p>
      <w:pPr>
        <w:numPr>
          <w:ilvl w:val="0"/>
          <w:numId w:val="0"/>
        </w:numPr>
        <w:spacing w:line="600" w:lineRule="exact"/>
        <w:outlineLvl w:val="1"/>
        <w:rPr>
          <w:rStyle w:val="13"/>
          <w:rFonts w:ascii="黑体" w:hAnsi="黑体" w:eastAsia="黑体" w:cs="黑体"/>
        </w:rPr>
      </w:pPr>
      <w:r>
        <w:rPr>
          <w:rFonts w:ascii="黑体" w:hAnsi="黑体" w:eastAsia="黑体"/>
          <w:color w:val="000000"/>
          <w:sz w:val="32"/>
          <w:szCs w:val="32"/>
        </w:rPr>
        <w:t>八、</w:t>
      </w:r>
      <w:r>
        <w:rPr>
          <w:rStyle w:val="13"/>
          <w:rFonts w:ascii="黑体" w:hAnsi="黑体" w:eastAsia="黑体" w:cs="黑体"/>
          <w:b w:val="0"/>
        </w:rPr>
        <w:t>政府性基金预算支出决算情况说明</w:t>
      </w:r>
    </w:p>
    <w:p>
      <w:pPr>
        <w:spacing w:line="600" w:lineRule="exact"/>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rPr>
        <w:t>2020年政府性基金预算拨款支出</w:t>
      </w:r>
      <w:r>
        <w:rPr>
          <w:rFonts w:ascii="仿宋_GB2312;仿宋" w:hAnsi="仿宋_GB2312;仿宋" w:eastAsia="仿宋_GB2312;仿宋"/>
          <w:color w:val="000000"/>
          <w:sz w:val="32"/>
          <w:szCs w:val="32"/>
          <w:lang w:val="en-US" w:eastAsia="zh-CN"/>
        </w:rPr>
        <w:t>2302.42</w:t>
      </w:r>
      <w:r>
        <w:rPr>
          <w:rFonts w:ascii="仿宋_GB2312;仿宋" w:hAnsi="仿宋_GB2312;仿宋" w:eastAsia="仿宋_GB2312;仿宋"/>
          <w:color w:val="000000"/>
          <w:sz w:val="32"/>
          <w:szCs w:val="32"/>
        </w:rPr>
        <w:t>万元。</w:t>
      </w:r>
    </w:p>
    <w:p>
      <w:pPr>
        <w:spacing w:line="600" w:lineRule="exact"/>
        <w:rPr>
          <w:rFonts w:ascii="仿宋_GB2312;仿宋" w:hAnsi="仿宋_GB2312;仿宋" w:eastAsia="仿宋_GB2312;仿宋"/>
          <w:color w:val="000000"/>
          <w:sz w:val="32"/>
          <w:szCs w:val="32"/>
        </w:rPr>
      </w:pPr>
    </w:p>
    <w:p>
      <w:pPr>
        <w:numPr>
          <w:ilvl w:val="0"/>
          <w:numId w:val="3"/>
        </w:numPr>
        <w:spacing w:line="600" w:lineRule="exact"/>
        <w:outlineLvl w:val="1"/>
        <w:rPr>
          <w:rStyle w:val="13"/>
          <w:rFonts w:ascii="黑体" w:hAnsi="黑体" w:eastAsia="黑体" w:cs="黑体"/>
          <w:b w:val="0"/>
        </w:rPr>
      </w:pPr>
      <w:r>
        <w:rPr>
          <w:rStyle w:val="13"/>
          <w:rFonts w:ascii="黑体" w:hAnsi="黑体" w:eastAsia="黑体" w:cs="黑体"/>
          <w:b w:val="0"/>
        </w:rPr>
        <w:t>国有资本经营预算支出决算情况说明</w:t>
      </w:r>
    </w:p>
    <w:p>
      <w:pPr>
        <w:spacing w:line="600" w:lineRule="exact"/>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rPr>
        <w:t>2020年国有资本经营预算拨款支出</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w:t>
      </w:r>
    </w:p>
    <w:p>
      <w:pPr>
        <w:spacing w:line="580" w:lineRule="exact"/>
        <w:jc w:val="center"/>
        <w:rPr>
          <w:rFonts w:ascii="方正小标宋简体;宋体-方正超大字符集" w:hAnsi="方正小标宋简体;宋体-方正超大字符集" w:eastAsia="方正小标宋简体;宋体-方正超大字符集" w:cs="方正小标宋简体;宋体-方正超大字符集"/>
          <w:color w:val="000000"/>
          <w:sz w:val="44"/>
          <w:szCs w:val="44"/>
        </w:rPr>
      </w:pPr>
    </w:p>
    <w:p>
      <w:pPr>
        <w:numPr>
          <w:ilvl w:val="0"/>
          <w:numId w:val="0"/>
        </w:numPr>
        <w:spacing w:line="600" w:lineRule="exact"/>
        <w:outlineLvl w:val="1"/>
        <w:rPr>
          <w:rStyle w:val="13"/>
          <w:rFonts w:ascii="黑体" w:hAnsi="黑体" w:eastAsia="黑体" w:cs="黑体"/>
        </w:rPr>
      </w:pPr>
      <w:r>
        <w:rPr>
          <w:rFonts w:ascii="黑体" w:hAnsi="黑体" w:eastAsia="黑体" w:cs="黑体"/>
          <w:color w:val="000000"/>
          <w:sz w:val="32"/>
          <w:szCs w:val="32"/>
        </w:rPr>
        <w:t>十</w:t>
      </w:r>
      <w:r>
        <w:rPr>
          <w:rStyle w:val="13"/>
          <w:rFonts w:ascii="黑体" w:hAnsi="黑体" w:eastAsia="黑体" w:cs="黑体"/>
        </w:rPr>
        <w:t>、</w:t>
      </w:r>
      <w:r>
        <w:rPr>
          <w:rStyle w:val="13"/>
          <w:rFonts w:ascii="黑体" w:hAnsi="黑体" w:eastAsia="黑体" w:cs="黑体"/>
          <w:b w:val="0"/>
        </w:rPr>
        <w:t>其他重要事项的情况说明</w:t>
      </w:r>
    </w:p>
    <w:p>
      <w:pPr>
        <w:numPr>
          <w:ilvl w:val="0"/>
          <w:numId w:val="0"/>
        </w:numPr>
        <w:spacing w:line="600" w:lineRule="exact"/>
        <w:outlineLvl w:val="2"/>
        <w:rPr>
          <w:rFonts w:ascii="仿宋" w:hAnsi="仿宋" w:eastAsia="仿宋" w:cs="仿宋"/>
          <w:color w:val="000000"/>
          <w:sz w:val="32"/>
          <w:szCs w:val="32"/>
        </w:rPr>
      </w:pPr>
      <w:r>
        <w:rPr>
          <w:rFonts w:ascii="仿宋" w:hAnsi="仿宋" w:eastAsia="仿宋" w:cs="仿宋"/>
          <w:b/>
          <w:color w:val="000000"/>
          <w:sz w:val="32"/>
          <w:szCs w:val="32"/>
        </w:rPr>
        <w:t>（一）机关运行经费支出情况</w:t>
      </w:r>
    </w:p>
    <w:p>
      <w:pPr>
        <w:spacing w:line="600" w:lineRule="exact"/>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rPr>
        <w:t>2020年，</w:t>
      </w:r>
      <w:r>
        <w:rPr>
          <w:rFonts w:ascii="仿宋_GB2312;仿宋" w:hAnsi="仿宋_GB2312;仿宋" w:eastAsia="仿宋_GB2312;仿宋"/>
          <w:color w:val="000000"/>
          <w:sz w:val="32"/>
          <w:szCs w:val="32"/>
          <w:lang w:eastAsia="zh-CN"/>
        </w:rPr>
        <w:t>区治理中心</w:t>
      </w:r>
      <w:r>
        <w:rPr>
          <w:rFonts w:ascii="仿宋_GB2312;仿宋" w:hAnsi="仿宋_GB2312;仿宋" w:eastAsia="仿宋_GB2312;仿宋"/>
          <w:color w:val="000000"/>
          <w:sz w:val="32"/>
          <w:szCs w:val="32"/>
        </w:rPr>
        <w:t>机关运行经费支出</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万元，比2019年增加/减少</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万元，增长/下降</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%（或与2019年决算数持平）。</w:t>
      </w:r>
    </w:p>
    <w:p>
      <w:pPr>
        <w:spacing w:line="600" w:lineRule="exact"/>
        <w:rPr>
          <w:rFonts w:ascii="仿宋" w:hAnsi="仿宋" w:eastAsia="仿宋" w:cs="仿宋"/>
          <w:b/>
          <w:color w:val="FF0000"/>
          <w:sz w:val="32"/>
          <w:szCs w:val="32"/>
        </w:rPr>
      </w:pPr>
      <w:r>
        <w:rPr>
          <w:rFonts w:ascii="仿宋" w:hAnsi="仿宋" w:eastAsia="仿宋" w:cs="仿宋"/>
          <w:b/>
          <w:color w:val="FF0000"/>
          <w:sz w:val="32"/>
          <w:szCs w:val="32"/>
        </w:rPr>
        <w:t>（注：数据来源于财决附03表）</w:t>
      </w:r>
    </w:p>
    <w:p>
      <w:pPr>
        <w:numPr>
          <w:ilvl w:val="0"/>
          <w:numId w:val="0"/>
        </w:numPr>
        <w:autoSpaceDE w:val="0"/>
        <w:spacing w:line="600" w:lineRule="exact"/>
        <w:jc w:val="left"/>
        <w:outlineLvl w:val="2"/>
        <w:rPr>
          <w:rFonts w:ascii="仿宋" w:hAnsi="仿宋" w:eastAsia="仿宋" w:cs="仿宋"/>
          <w:b/>
          <w:color w:val="000000"/>
          <w:sz w:val="32"/>
          <w:szCs w:val="32"/>
        </w:rPr>
      </w:pPr>
      <w:r>
        <w:rPr>
          <w:rFonts w:ascii="仿宋" w:hAnsi="仿宋" w:eastAsia="仿宋" w:cs="仿宋"/>
          <w:b/>
          <w:color w:val="000000"/>
          <w:sz w:val="32"/>
          <w:szCs w:val="32"/>
        </w:rPr>
        <w:t>（二）政府采购支出情况</w:t>
      </w:r>
    </w:p>
    <w:p>
      <w:pPr>
        <w:spacing w:line="600" w:lineRule="exact"/>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rPr>
        <w:t>2020年，</w:t>
      </w:r>
      <w:r>
        <w:rPr>
          <w:rFonts w:ascii="仿宋_GB2312;仿宋" w:hAnsi="仿宋_GB2312;仿宋" w:eastAsia="仿宋_GB2312;仿宋"/>
          <w:color w:val="000000"/>
          <w:sz w:val="32"/>
          <w:szCs w:val="32"/>
          <w:lang w:eastAsia="zh-CN"/>
        </w:rPr>
        <w:t>区治理中心</w:t>
      </w:r>
      <w:r>
        <w:rPr>
          <w:rFonts w:ascii="仿宋_GB2312;仿宋" w:hAnsi="仿宋_GB2312;仿宋" w:eastAsia="仿宋_GB2312;仿宋"/>
          <w:color w:val="000000"/>
          <w:sz w:val="32"/>
          <w:szCs w:val="32"/>
        </w:rPr>
        <w:t>政府采购支出总额</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万元，其中：政府采购货物支出</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万元、政府采购工程支出</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万元、政府采购服务支出</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万元。授予中小企业合同金额</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万元，占政府采购支出总额的</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%，其中：授予小微企业合同金额</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万元，占政府采购支出总额的</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w:t>
      </w:r>
    </w:p>
    <w:p>
      <w:pPr>
        <w:spacing w:line="600" w:lineRule="exact"/>
        <w:rPr>
          <w:rFonts w:ascii="仿宋" w:hAnsi="仿宋" w:eastAsia="仿宋" w:cs="仿宋"/>
          <w:b/>
          <w:color w:val="FF0000"/>
          <w:sz w:val="32"/>
          <w:szCs w:val="32"/>
        </w:rPr>
      </w:pPr>
      <w:r>
        <w:rPr>
          <w:rFonts w:ascii="仿宋" w:hAnsi="仿宋" w:eastAsia="仿宋" w:cs="仿宋"/>
          <w:b/>
          <w:color w:val="FF0000"/>
          <w:sz w:val="32"/>
          <w:szCs w:val="32"/>
        </w:rPr>
        <w:t>（注：数据来源于财决附03表）</w:t>
      </w:r>
    </w:p>
    <w:p>
      <w:pPr>
        <w:numPr>
          <w:ilvl w:val="0"/>
          <w:numId w:val="0"/>
        </w:numPr>
        <w:autoSpaceDE w:val="0"/>
        <w:spacing w:line="600" w:lineRule="exact"/>
        <w:jc w:val="left"/>
        <w:outlineLvl w:val="2"/>
        <w:rPr>
          <w:rFonts w:ascii="仿宋" w:hAnsi="仿宋" w:eastAsia="仿宋" w:cs="仿宋"/>
          <w:b/>
          <w:color w:val="000000"/>
          <w:sz w:val="32"/>
          <w:szCs w:val="32"/>
        </w:rPr>
      </w:pPr>
      <w:r>
        <w:rPr>
          <w:rFonts w:ascii="仿宋" w:hAnsi="仿宋" w:eastAsia="仿宋" w:cs="仿宋"/>
          <w:b/>
          <w:color w:val="000000"/>
          <w:sz w:val="32"/>
          <w:szCs w:val="32"/>
        </w:rPr>
        <w:t>（三）国有资产占有使用情况</w:t>
      </w:r>
    </w:p>
    <w:p>
      <w:pPr>
        <w:autoSpaceDE w:val="0"/>
        <w:spacing w:line="600" w:lineRule="exact"/>
        <w:jc w:val="left"/>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rPr>
        <w:t>截至2020年12月31日，</w:t>
      </w:r>
      <w:r>
        <w:rPr>
          <w:rFonts w:ascii="仿宋_GB2312;仿宋" w:hAnsi="仿宋_GB2312;仿宋" w:eastAsia="仿宋_GB2312;仿宋"/>
          <w:color w:val="000000"/>
          <w:sz w:val="32"/>
          <w:szCs w:val="32"/>
          <w:lang w:eastAsia="zh-CN"/>
        </w:rPr>
        <w:t>区治理办</w:t>
      </w:r>
      <w:r>
        <w:rPr>
          <w:rFonts w:ascii="仿宋_GB2312;仿宋" w:hAnsi="仿宋_GB2312;仿宋" w:eastAsia="仿宋_GB2312;仿宋"/>
          <w:color w:val="000000"/>
          <w:sz w:val="32"/>
          <w:szCs w:val="32"/>
        </w:rPr>
        <w:t>共有车辆</w:t>
      </w:r>
      <w:r>
        <w:rPr>
          <w:rFonts w:ascii="仿宋_GB2312;仿宋" w:hAnsi="仿宋_GB2312;仿宋" w:eastAsia="仿宋_GB2312;仿宋"/>
          <w:color w:val="000000"/>
          <w:sz w:val="32"/>
          <w:szCs w:val="32"/>
          <w:lang w:val="en-US" w:eastAsia="zh-CN"/>
        </w:rPr>
        <w:t>3</w:t>
      </w:r>
      <w:r>
        <w:rPr>
          <w:rFonts w:ascii="仿宋_GB2312;仿宋" w:hAnsi="仿宋_GB2312;仿宋" w:eastAsia="仿宋_GB2312;仿宋"/>
          <w:color w:val="000000"/>
          <w:sz w:val="32"/>
          <w:szCs w:val="32"/>
        </w:rPr>
        <w:t>辆，其中：部级领导干部用车</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辆、一般公务用车</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辆、一般执法执勤用车</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辆、特种专业技术用车</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辆、其他用车</w:t>
      </w:r>
      <w:r>
        <w:rPr>
          <w:rFonts w:ascii="仿宋_GB2312;仿宋" w:hAnsi="仿宋_GB2312;仿宋" w:eastAsia="仿宋_GB2312;仿宋"/>
          <w:color w:val="000000"/>
          <w:sz w:val="32"/>
          <w:szCs w:val="32"/>
          <w:lang w:val="en-US" w:eastAsia="zh-CN"/>
        </w:rPr>
        <w:t>3</w:t>
      </w:r>
      <w:r>
        <w:rPr>
          <w:rFonts w:ascii="仿宋_GB2312;仿宋" w:hAnsi="仿宋_GB2312;仿宋" w:eastAsia="仿宋_GB2312;仿宋"/>
          <w:color w:val="000000"/>
          <w:sz w:val="32"/>
          <w:szCs w:val="32"/>
        </w:rPr>
        <w:t>辆，其他用车主要是用于</w:t>
      </w:r>
      <w:r>
        <w:rPr>
          <w:rFonts w:ascii="仿宋_GB2312;仿宋" w:hAnsi="仿宋_GB2312;仿宋" w:eastAsia="仿宋_GB2312;仿宋"/>
          <w:color w:val="000000"/>
          <w:sz w:val="32"/>
          <w:szCs w:val="32"/>
          <w:lang w:eastAsia="zh-CN"/>
        </w:rPr>
        <w:t>开展全区五治、城乡环境督查等工作，</w:t>
      </w:r>
      <w:r>
        <w:rPr>
          <w:rFonts w:ascii="仿宋_GB2312;仿宋" w:hAnsi="仿宋_GB2312;仿宋" w:eastAsia="仿宋_GB2312;仿宋"/>
          <w:color w:val="000000"/>
          <w:sz w:val="32"/>
          <w:szCs w:val="32"/>
        </w:rPr>
        <w:t>单价50万元以上通用设备</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台（套），单价100万元以上专用设备</w:t>
      </w:r>
      <w:r>
        <w:rPr>
          <w:rFonts w:ascii="仿宋_GB2312;仿宋" w:hAnsi="仿宋_GB2312;仿宋" w:eastAsia="仿宋_GB2312;仿宋"/>
          <w:color w:val="000000"/>
          <w:sz w:val="32"/>
          <w:szCs w:val="32"/>
          <w:lang w:val="en-US" w:eastAsia="zh-CN"/>
        </w:rPr>
        <w:t>0</w:t>
      </w:r>
      <w:r>
        <w:rPr>
          <w:rFonts w:ascii="仿宋_GB2312;仿宋" w:hAnsi="仿宋_GB2312;仿宋" w:eastAsia="仿宋_GB2312;仿宋"/>
          <w:color w:val="000000"/>
          <w:sz w:val="32"/>
          <w:szCs w:val="32"/>
        </w:rPr>
        <w:t>台（套）。</w:t>
      </w:r>
    </w:p>
    <w:p>
      <w:pPr>
        <w:autoSpaceDE w:val="0"/>
        <w:spacing w:line="600" w:lineRule="exact"/>
        <w:jc w:val="left"/>
        <w:rPr>
          <w:rFonts w:ascii="仿宋" w:hAnsi="仿宋" w:eastAsia="仿宋" w:cs="仿宋"/>
          <w:b/>
          <w:color w:val="FF0000"/>
          <w:sz w:val="32"/>
          <w:szCs w:val="32"/>
        </w:rPr>
      </w:pPr>
      <w:r>
        <w:rPr>
          <w:rFonts w:ascii="仿宋" w:hAnsi="仿宋" w:eastAsia="仿宋" w:cs="仿宋"/>
          <w:b/>
          <w:color w:val="FF0000"/>
          <w:sz w:val="32"/>
          <w:szCs w:val="32"/>
        </w:rPr>
        <w:t>（注：数据来源财决附03表，按部门决算报表填报数据罗列车辆情况。）</w:t>
      </w:r>
    </w:p>
    <w:p>
      <w:pPr>
        <w:numPr>
          <w:ilvl w:val="0"/>
          <w:numId w:val="0"/>
        </w:numPr>
        <w:autoSpaceDE w:val="0"/>
        <w:spacing w:line="600" w:lineRule="exact"/>
        <w:jc w:val="left"/>
        <w:outlineLvl w:val="2"/>
        <w:rPr>
          <w:rFonts w:ascii="仿宋" w:hAnsi="仿宋" w:eastAsia="仿宋" w:cs="仿宋"/>
          <w:b/>
          <w:color w:val="000000"/>
          <w:sz w:val="32"/>
          <w:szCs w:val="32"/>
        </w:rPr>
      </w:pPr>
      <w:r>
        <w:rPr>
          <w:rFonts w:ascii="仿宋" w:hAnsi="仿宋" w:eastAsia="仿宋" w:cs="仿宋"/>
          <w:b/>
          <w:color w:val="000000"/>
          <w:sz w:val="32"/>
          <w:szCs w:val="32"/>
        </w:rPr>
        <w:t>（四）预算绩效管理情况。</w:t>
      </w:r>
    </w:p>
    <w:p>
      <w:pPr>
        <w:spacing w:line="580" w:lineRule="exact"/>
        <w:rPr>
          <w:rFonts w:ascii="仿宋_GB2312;仿宋" w:hAnsi="仿宋_GB2312;仿宋" w:eastAsia="仿宋_GB2312;仿宋" w:cs="仿宋_GB2312;仿宋"/>
          <w:sz w:val="32"/>
          <w:szCs w:val="32"/>
        </w:rPr>
      </w:pPr>
      <w:r>
        <w:rPr>
          <w:rFonts w:ascii="仿宋_GB2312;仿宋" w:hAnsi="仿宋_GB2312;仿宋" w:eastAsia="仿宋_GB2312;仿宋" w:cs="仿宋_GB2312;仿宋"/>
          <w:sz w:val="32"/>
          <w:szCs w:val="32"/>
        </w:rPr>
        <w:t>根据预算绩效管理要求，本部门（单位）在年初预算编制阶段，组织对</w:t>
      </w:r>
      <w:r>
        <w:rPr>
          <w:rFonts w:ascii="仿宋_GB2312;仿宋" w:hAnsi="仿宋_GB2312;仿宋" w:eastAsia="仿宋_GB2312;仿宋" w:cs="仿宋_GB2312;仿宋"/>
          <w:sz w:val="32"/>
          <w:szCs w:val="32"/>
          <w:lang w:eastAsia="zh-CN"/>
        </w:rPr>
        <w:t>铁路沿线整治、党建工作、房租</w:t>
      </w:r>
      <w:r>
        <w:rPr>
          <w:rFonts w:ascii="仿宋_GB2312;仿宋" w:hAnsi="仿宋_GB2312;仿宋" w:eastAsia="仿宋_GB2312;仿宋" w:cs="仿宋_GB2312;仿宋"/>
          <w:sz w:val="32"/>
          <w:szCs w:val="32"/>
        </w:rPr>
        <w:t>项目（项目名称）开展了预算事前绩效评估，对</w:t>
      </w:r>
      <w:r>
        <w:rPr>
          <w:rFonts w:ascii="仿宋_GB2312;仿宋" w:hAnsi="仿宋_GB2312;仿宋" w:eastAsia="仿宋_GB2312;仿宋" w:cs="仿宋_GB2312;仿宋"/>
          <w:sz w:val="32"/>
          <w:szCs w:val="32"/>
          <w:lang w:val="en-US" w:eastAsia="zh-CN"/>
        </w:rPr>
        <w:t>3</w:t>
      </w:r>
      <w:r>
        <w:rPr>
          <w:rFonts w:ascii="仿宋_GB2312;仿宋" w:hAnsi="仿宋_GB2312;仿宋" w:eastAsia="仿宋_GB2312;仿宋" w:cs="仿宋_GB2312;仿宋"/>
          <w:sz w:val="32"/>
          <w:szCs w:val="32"/>
        </w:rPr>
        <w:t>个项目编制了绩效目标，预算执行过程中，选取</w:t>
      </w:r>
      <w:r>
        <w:rPr>
          <w:rFonts w:ascii="仿宋_GB2312;仿宋" w:hAnsi="仿宋_GB2312;仿宋" w:eastAsia="仿宋_GB2312;仿宋" w:cs="仿宋_GB2312;仿宋"/>
          <w:sz w:val="32"/>
          <w:szCs w:val="32"/>
          <w:lang w:val="en-US" w:eastAsia="zh-CN"/>
        </w:rPr>
        <w:t>1</w:t>
      </w:r>
      <w:r>
        <w:rPr>
          <w:rFonts w:ascii="仿宋_GB2312;仿宋" w:hAnsi="仿宋_GB2312;仿宋" w:eastAsia="仿宋_GB2312;仿宋" w:cs="仿宋_GB2312;仿宋"/>
          <w:sz w:val="32"/>
          <w:szCs w:val="32"/>
        </w:rPr>
        <w:t>个项目开展绩效监控，年终执行完毕后，对</w:t>
      </w:r>
      <w:r>
        <w:rPr>
          <w:rFonts w:ascii="仿宋_GB2312;仿宋" w:hAnsi="仿宋_GB2312;仿宋" w:eastAsia="仿宋_GB2312;仿宋" w:cs="仿宋_GB2312;仿宋"/>
          <w:sz w:val="32"/>
          <w:szCs w:val="32"/>
          <w:lang w:val="en-US" w:eastAsia="zh-CN"/>
        </w:rPr>
        <w:t>3</w:t>
      </w:r>
      <w:r>
        <w:rPr>
          <w:rFonts w:ascii="仿宋_GB2312;仿宋" w:hAnsi="仿宋_GB2312;仿宋" w:eastAsia="仿宋_GB2312;仿宋" w:cs="仿宋_GB2312;仿宋"/>
          <w:sz w:val="32"/>
          <w:szCs w:val="32"/>
        </w:rPr>
        <w:t>个项目开展了绩效目标完成情况自评。</w:t>
      </w:r>
    </w:p>
    <w:p>
      <w:pPr>
        <w:spacing w:line="580" w:lineRule="exact"/>
        <w:rPr>
          <w:rFonts w:ascii="仿宋_GB2312;仿宋" w:hAnsi="仿宋_GB2312;仿宋" w:eastAsia="仿宋_GB2312;仿宋" w:cs="仿宋_GB2312;仿宋"/>
          <w:sz w:val="32"/>
          <w:szCs w:val="32"/>
        </w:rPr>
      </w:pPr>
      <w:r>
        <w:rPr>
          <w:rFonts w:ascii="仿宋_GB2312;仿宋" w:hAnsi="仿宋_GB2312;仿宋" w:eastAsia="仿宋_GB2312;仿宋" w:cs="仿宋_GB2312;仿宋"/>
          <w:sz w:val="32"/>
          <w:szCs w:val="32"/>
        </w:rPr>
        <w:t>本部门按要求对2020年部门整体支出开展绩效自评，从评价情况来看</w:t>
      </w:r>
      <w:r>
        <w:rPr>
          <w:rFonts w:ascii="仿宋_GB2312;仿宋" w:hAnsi="仿宋_GB2312;仿宋" w:eastAsia="仿宋_GB2312;仿宋" w:cs="仿宋_GB2312;仿宋"/>
          <w:sz w:val="32"/>
          <w:szCs w:val="32"/>
          <w:lang w:eastAsia="zh-CN"/>
        </w:rPr>
        <w:t>，</w:t>
      </w:r>
      <w:r>
        <w:rPr>
          <w:rFonts w:ascii="仿宋" w:hAnsi="仿宋" w:eastAsia="仿宋" w:cs="仿宋"/>
          <w:sz w:val="32"/>
          <w:szCs w:val="32"/>
        </w:rPr>
        <w:t>我单位预算编制及执行决算较为准确，支出管理较为规范，财务管理制度较完善，部门整体绩效较好。</w:t>
      </w:r>
      <w:r>
        <w:rPr>
          <w:rFonts w:ascii="仿宋_GB2312;仿宋" w:hAnsi="仿宋_GB2312;仿宋" w:eastAsia="仿宋_GB2312;仿宋" w:cs="仿宋_GB2312;仿宋"/>
          <w:sz w:val="32"/>
          <w:szCs w:val="32"/>
        </w:rPr>
        <w:t>本部门还自行组织了</w:t>
      </w:r>
      <w:r>
        <w:rPr>
          <w:rFonts w:ascii="仿宋_GB2312;仿宋" w:hAnsi="仿宋_GB2312;仿宋" w:eastAsia="仿宋_GB2312;仿宋" w:cs="仿宋_GB2312;仿宋"/>
          <w:sz w:val="32"/>
          <w:szCs w:val="32"/>
          <w:lang w:val="en-US" w:eastAsia="zh-CN"/>
        </w:rPr>
        <w:t>1</w:t>
      </w:r>
      <w:r>
        <w:rPr>
          <w:rFonts w:ascii="仿宋_GB2312;仿宋" w:hAnsi="仿宋_GB2312;仿宋" w:eastAsia="仿宋_GB2312;仿宋" w:cs="仿宋_GB2312;仿宋"/>
          <w:sz w:val="32"/>
          <w:szCs w:val="32"/>
        </w:rPr>
        <w:t>个项目支出绩效评价，从评价情况来看</w:t>
      </w:r>
      <w:r>
        <w:rPr>
          <w:rFonts w:ascii="仿宋_GB2312;仿宋" w:hAnsi="仿宋_GB2312;仿宋" w:eastAsia="仿宋_GB2312;仿宋" w:cs="仿宋_GB2312;仿宋"/>
          <w:sz w:val="32"/>
          <w:szCs w:val="32"/>
          <w:lang w:eastAsia="zh-CN"/>
        </w:rPr>
        <w:t>，</w:t>
      </w:r>
      <w:r>
        <w:rPr>
          <w:rFonts w:ascii="仿宋" w:hAnsi="仿宋" w:eastAsia="仿宋" w:cs="仿宋"/>
          <w:kern w:val="2"/>
          <w:sz w:val="32"/>
          <w:szCs w:val="32"/>
          <w:lang w:val="zh-CN"/>
        </w:rPr>
        <w:t>我单位按照年度工作要求的安排，严格执行专项资金管理制度充分合理使用该专项资金，真正做到数出有据、数出有理，确保资金发挥最佳效益。</w:t>
      </w:r>
    </w:p>
    <w:p>
      <w:pPr>
        <w:spacing w:line="580" w:lineRule="exact"/>
        <w:rPr>
          <w:rFonts w:ascii="仿宋_GB2312;仿宋" w:hAnsi="仿宋_GB2312;仿宋" w:eastAsia="仿宋_GB2312;仿宋" w:cs="仿宋_GB2312;仿宋"/>
          <w:sz w:val="32"/>
          <w:szCs w:val="32"/>
        </w:rPr>
      </w:pPr>
      <w:r>
        <w:rPr>
          <w:rFonts w:ascii="楷体_GB2312;楷体" w:hAnsi="楷体_GB2312;楷体" w:eastAsia="楷体_GB2312;楷体" w:cs="楷体_GB2312;楷体"/>
          <w:sz w:val="32"/>
          <w:szCs w:val="32"/>
        </w:rPr>
        <w:t>1.项目绩效目标完成情况。</w:t>
      </w:r>
      <w:r>
        <w:rPr>
          <w:rFonts w:ascii="楷体_GB2312;楷体" w:hAnsi="楷体_GB2312;楷体" w:eastAsia="楷体_GB2312;楷体" w:cs="楷体_GB2312;楷体"/>
          <w:sz w:val="32"/>
          <w:szCs w:val="32"/>
        </w:rPr>
        <w:br w:type="textWrapping"/>
      </w:r>
      <w:r>
        <w:rPr>
          <w:rFonts w:ascii="仿宋_GB2312;仿宋" w:hAnsi="仿宋_GB2312;仿宋" w:eastAsia="仿宋_GB2312;仿宋" w:cs="仿宋_GB2312;仿宋"/>
          <w:sz w:val="32"/>
          <w:szCs w:val="32"/>
        </w:rPr>
        <w:t xml:space="preserve">    本部门在2020年度部门决算中反映“</w:t>
      </w:r>
      <w:r>
        <w:rPr>
          <w:rFonts w:ascii="仿宋_GB2312;仿宋" w:hAnsi="仿宋_GB2312;仿宋" w:eastAsia="仿宋_GB2312;仿宋" w:cs="仿宋_GB2312;仿宋"/>
          <w:sz w:val="32"/>
          <w:szCs w:val="32"/>
          <w:lang w:eastAsia="zh-CN"/>
        </w:rPr>
        <w:t>铁路沿线整治费用</w:t>
      </w:r>
      <w:r>
        <w:rPr>
          <w:rFonts w:ascii="仿宋_GB2312;仿宋" w:hAnsi="仿宋_GB2312;仿宋" w:eastAsia="仿宋_GB2312;仿宋" w:cs="仿宋_GB2312;仿宋"/>
          <w:sz w:val="32"/>
          <w:szCs w:val="32"/>
        </w:rPr>
        <w:t>”</w:t>
      </w:r>
      <w:r>
        <w:rPr>
          <w:rFonts w:ascii="仿宋_GB2312;仿宋" w:hAnsi="仿宋_GB2312;仿宋" w:eastAsia="仿宋_GB2312;仿宋" w:cs="仿宋_GB2312;仿宋"/>
          <w:sz w:val="32"/>
          <w:szCs w:val="32"/>
          <w:lang w:eastAsia="zh-CN"/>
        </w:rPr>
        <w:t>“党建工作经费</w:t>
      </w:r>
      <w:r>
        <w:rPr>
          <w:rFonts w:ascii="仿宋_GB2312;仿宋" w:hAnsi="仿宋_GB2312;仿宋" w:eastAsia="仿宋_GB2312;仿宋" w:cs="仿宋_GB2312;仿宋"/>
          <w:sz w:val="32"/>
          <w:szCs w:val="32"/>
        </w:rPr>
        <w:t>”“</w:t>
      </w:r>
      <w:r>
        <w:rPr>
          <w:rFonts w:ascii="仿宋_GB2312;仿宋" w:hAnsi="仿宋_GB2312;仿宋" w:eastAsia="仿宋_GB2312;仿宋" w:cs="仿宋_GB2312;仿宋"/>
          <w:sz w:val="32"/>
          <w:szCs w:val="32"/>
          <w:lang w:eastAsia="zh-CN"/>
        </w:rPr>
        <w:t>房租</w:t>
      </w:r>
      <w:r>
        <w:rPr>
          <w:rFonts w:ascii="仿宋_GB2312;仿宋" w:hAnsi="仿宋_GB2312;仿宋" w:eastAsia="仿宋_GB2312;仿宋" w:cs="仿宋_GB2312;仿宋"/>
          <w:sz w:val="32"/>
          <w:szCs w:val="32"/>
        </w:rPr>
        <w:t>”等</w:t>
      </w:r>
      <w:r>
        <w:rPr>
          <w:rFonts w:ascii="仿宋_GB2312;仿宋" w:hAnsi="仿宋_GB2312;仿宋" w:eastAsia="仿宋_GB2312;仿宋" w:cs="仿宋_GB2312;仿宋"/>
          <w:sz w:val="32"/>
          <w:szCs w:val="32"/>
          <w:lang w:val="en-US" w:eastAsia="zh-CN"/>
        </w:rPr>
        <w:t>3</w:t>
      </w:r>
      <w:r>
        <w:rPr>
          <w:rFonts w:ascii="仿宋_GB2312;仿宋" w:hAnsi="仿宋_GB2312;仿宋" w:eastAsia="仿宋_GB2312;仿宋" w:cs="仿宋_GB2312;仿宋"/>
          <w:sz w:val="32"/>
          <w:szCs w:val="32"/>
        </w:rPr>
        <w:t>个项目绩效目标实际完成情况。（本单位部门项目绩效目标个数在5个以上的，选取5个项目进行公开，目标个数在5个以下的，全部进行公开，公开内容包括选取的全部项目完成情况综述和完成情况表）。</w:t>
      </w:r>
    </w:p>
    <w:p>
      <w:pPr>
        <w:spacing w:line="580" w:lineRule="exact"/>
        <w:rPr>
          <w:rFonts w:ascii="仿宋_GB2312;仿宋" w:hAnsi="仿宋_GB2312;仿宋" w:eastAsia="仿宋_GB2312;仿宋" w:cs="仿宋_GB2312;仿宋"/>
          <w:sz w:val="32"/>
          <w:szCs w:val="32"/>
          <w:lang w:eastAsia="zh-CN"/>
        </w:rPr>
      </w:pPr>
      <w:r>
        <w:rPr>
          <w:rFonts w:ascii="仿宋_GB2312;仿宋" w:hAnsi="仿宋_GB2312;仿宋" w:eastAsia="仿宋_GB2312;仿宋" w:cs="仿宋_GB2312;仿宋"/>
          <w:sz w:val="32"/>
          <w:szCs w:val="32"/>
        </w:rPr>
        <w:t>（1）</w:t>
      </w:r>
      <w:r>
        <w:rPr>
          <w:rFonts w:ascii="仿宋_GB2312;仿宋" w:hAnsi="仿宋_GB2312;仿宋" w:eastAsia="仿宋_GB2312;仿宋" w:cs="仿宋_GB2312;仿宋"/>
          <w:sz w:val="32"/>
          <w:szCs w:val="32"/>
          <w:lang w:eastAsia="zh-CN"/>
        </w:rPr>
        <w:t>铁路沿线整治费用</w:t>
      </w:r>
      <w:r>
        <w:rPr>
          <w:rFonts w:ascii="仿宋_GB2312;仿宋" w:hAnsi="仿宋_GB2312;仿宋" w:eastAsia="仿宋_GB2312;仿宋" w:cs="仿宋_GB2312;仿宋"/>
          <w:sz w:val="32"/>
          <w:szCs w:val="32"/>
        </w:rPr>
        <w:t>项目绩效目标完成情况综述。项目全年预算数</w:t>
      </w:r>
      <w:r>
        <w:rPr>
          <w:rFonts w:ascii="仿宋_GB2312;仿宋" w:hAnsi="仿宋_GB2312;仿宋" w:eastAsia="仿宋_GB2312;仿宋" w:cs="仿宋_GB2312;仿宋"/>
          <w:sz w:val="32"/>
          <w:szCs w:val="32"/>
          <w:lang w:val="en-US" w:eastAsia="zh-CN"/>
        </w:rPr>
        <w:t>20</w:t>
      </w:r>
      <w:r>
        <w:rPr>
          <w:rFonts w:ascii="仿宋_GB2312;仿宋" w:hAnsi="仿宋_GB2312;仿宋" w:eastAsia="仿宋_GB2312;仿宋" w:cs="仿宋_GB2312;仿宋"/>
          <w:sz w:val="32"/>
          <w:szCs w:val="32"/>
        </w:rPr>
        <w:t>万元，执行数为</w:t>
      </w:r>
      <w:r>
        <w:rPr>
          <w:rFonts w:ascii="仿宋_GB2312;仿宋" w:hAnsi="仿宋_GB2312;仿宋" w:eastAsia="仿宋_GB2312;仿宋" w:cs="仿宋_GB2312;仿宋"/>
          <w:sz w:val="32"/>
          <w:szCs w:val="32"/>
          <w:lang w:val="en-US" w:eastAsia="zh-CN"/>
        </w:rPr>
        <w:t>20</w:t>
      </w:r>
      <w:r>
        <w:rPr>
          <w:rFonts w:ascii="仿宋_GB2312;仿宋" w:hAnsi="仿宋_GB2312;仿宋" w:eastAsia="仿宋_GB2312;仿宋" w:cs="仿宋_GB2312;仿宋"/>
          <w:sz w:val="32"/>
          <w:szCs w:val="32"/>
        </w:rPr>
        <w:t>万元，完成预算的</w:t>
      </w:r>
      <w:r>
        <w:rPr>
          <w:rFonts w:ascii="仿宋_GB2312;仿宋" w:hAnsi="仿宋_GB2312;仿宋" w:eastAsia="仿宋_GB2312;仿宋" w:cs="仿宋_GB2312;仿宋"/>
          <w:sz w:val="32"/>
          <w:szCs w:val="32"/>
          <w:lang w:val="en-US" w:eastAsia="zh-CN"/>
        </w:rPr>
        <w:t>100</w:t>
      </w:r>
      <w:r>
        <w:rPr>
          <w:rFonts w:ascii="仿宋_GB2312;仿宋" w:hAnsi="仿宋_GB2312;仿宋" w:eastAsia="仿宋_GB2312;仿宋" w:cs="仿宋_GB2312;仿宋"/>
          <w:sz w:val="32"/>
          <w:szCs w:val="32"/>
        </w:rPr>
        <w:t>%。通过项目实施，保障了</w:t>
      </w:r>
      <w:r>
        <w:rPr>
          <w:rFonts w:ascii="仿宋_GB2312;仿宋" w:hAnsi="仿宋_GB2312;仿宋" w:eastAsia="仿宋_GB2312;仿宋" w:cs="仿宋_GB2312;仿宋"/>
          <w:sz w:val="32"/>
          <w:szCs w:val="32"/>
          <w:lang w:eastAsia="zh-CN"/>
        </w:rPr>
        <w:t>我区境内铁路沿线环境得到了有效的治理，沿线人居环境得到了有效的改善。</w:t>
      </w:r>
      <w:r>
        <w:rPr>
          <w:rFonts w:ascii="仿宋_GB2312;仿宋" w:hAnsi="仿宋_GB2312;仿宋" w:eastAsia="仿宋_GB2312;仿宋" w:cs="仿宋_GB2312;仿宋"/>
          <w:sz w:val="32"/>
          <w:szCs w:val="32"/>
        </w:rPr>
        <w:t>发现的主要问题：</w:t>
      </w:r>
      <w:r>
        <w:rPr>
          <w:rFonts w:ascii="仿宋_GB2312;仿宋" w:hAnsi="仿宋_GB2312;仿宋" w:eastAsia="仿宋_GB2312;仿宋" w:cs="仿宋_GB2312;仿宋"/>
          <w:sz w:val="32"/>
          <w:szCs w:val="32"/>
          <w:lang w:eastAsia="zh-CN"/>
        </w:rPr>
        <w:t>无</w:t>
      </w:r>
      <w:r>
        <w:rPr>
          <w:rFonts w:ascii="仿宋_GB2312;仿宋" w:hAnsi="仿宋_GB2312;仿宋" w:eastAsia="仿宋_GB2312;仿宋" w:cs="仿宋_GB2312;仿宋"/>
          <w:sz w:val="32"/>
          <w:szCs w:val="32"/>
        </w:rPr>
        <w:t>。下一步改进措施：</w:t>
      </w:r>
      <w:r>
        <w:rPr>
          <w:rFonts w:ascii="仿宋_GB2312;仿宋" w:hAnsi="仿宋_GB2312;仿宋" w:eastAsia="仿宋_GB2312;仿宋" w:cs="仿宋_GB2312;仿宋"/>
          <w:sz w:val="32"/>
          <w:szCs w:val="32"/>
          <w:lang w:eastAsia="zh-CN"/>
        </w:rPr>
        <w:t>无。</w:t>
      </w:r>
    </w:p>
    <w:p>
      <w:pPr>
        <w:numPr>
          <w:ilvl w:val="0"/>
          <w:numId w:val="4"/>
        </w:numPr>
        <w:tabs>
          <w:tab w:val="left" w:pos="312"/>
          <w:tab w:val="clear" w:pos="420"/>
        </w:tabs>
        <w:spacing w:line="580" w:lineRule="exact"/>
        <w:rPr>
          <w:rFonts w:ascii="仿宋_GB2312;仿宋" w:hAnsi="仿宋_GB2312;仿宋" w:eastAsia="仿宋_GB2312;仿宋" w:cs="仿宋_GB2312;仿宋"/>
          <w:sz w:val="32"/>
          <w:szCs w:val="32"/>
        </w:rPr>
      </w:pPr>
      <w:r>
        <w:rPr>
          <w:rFonts w:ascii="仿宋_GB2312;仿宋" w:hAnsi="仿宋_GB2312;仿宋" w:eastAsia="仿宋_GB2312;仿宋" w:cs="仿宋_GB2312;仿宋"/>
          <w:sz w:val="32"/>
          <w:szCs w:val="32"/>
        </w:rPr>
        <w:t>（2）</w:t>
      </w:r>
      <w:r>
        <w:rPr>
          <w:rFonts w:ascii="仿宋_GB2312;仿宋" w:hAnsi="仿宋_GB2312;仿宋" w:eastAsia="仿宋_GB2312;仿宋" w:cs="仿宋_GB2312;仿宋"/>
          <w:sz w:val="32"/>
          <w:szCs w:val="32"/>
          <w:lang w:eastAsia="zh-CN"/>
        </w:rPr>
        <w:t>党建工作经费</w:t>
      </w:r>
      <w:r>
        <w:rPr>
          <w:rFonts w:ascii="仿宋_GB2312;仿宋" w:hAnsi="仿宋_GB2312;仿宋" w:eastAsia="仿宋_GB2312;仿宋" w:cs="仿宋_GB2312;仿宋"/>
          <w:sz w:val="32"/>
          <w:szCs w:val="32"/>
        </w:rPr>
        <w:t>项目绩效目标完成情况综述。项目全年预算数</w:t>
      </w:r>
      <w:r>
        <w:rPr>
          <w:rFonts w:ascii="仿宋_GB2312;仿宋" w:hAnsi="仿宋_GB2312;仿宋" w:eastAsia="仿宋_GB2312;仿宋" w:cs="仿宋_GB2312;仿宋"/>
          <w:sz w:val="32"/>
          <w:szCs w:val="32"/>
          <w:lang w:val="en-US" w:eastAsia="zh-CN"/>
        </w:rPr>
        <w:t>5</w:t>
      </w:r>
      <w:r>
        <w:rPr>
          <w:rFonts w:ascii="仿宋_GB2312;仿宋" w:hAnsi="仿宋_GB2312;仿宋" w:eastAsia="仿宋_GB2312;仿宋" w:cs="仿宋_GB2312;仿宋"/>
          <w:sz w:val="32"/>
          <w:szCs w:val="32"/>
        </w:rPr>
        <w:t>万元，执行数为</w:t>
      </w:r>
      <w:r>
        <w:rPr>
          <w:rFonts w:ascii="仿宋_GB2312;仿宋" w:hAnsi="仿宋_GB2312;仿宋" w:eastAsia="仿宋_GB2312;仿宋" w:cs="仿宋_GB2312;仿宋"/>
          <w:sz w:val="32"/>
          <w:szCs w:val="32"/>
          <w:lang w:val="en-US" w:eastAsia="zh-CN"/>
        </w:rPr>
        <w:t>5</w:t>
      </w:r>
      <w:r>
        <w:rPr>
          <w:rFonts w:ascii="仿宋_GB2312;仿宋" w:hAnsi="仿宋_GB2312;仿宋" w:eastAsia="仿宋_GB2312;仿宋" w:cs="仿宋_GB2312;仿宋"/>
          <w:sz w:val="32"/>
          <w:szCs w:val="32"/>
        </w:rPr>
        <w:t>万元，完成预算的</w:t>
      </w:r>
      <w:r>
        <w:rPr>
          <w:rFonts w:ascii="仿宋_GB2312;仿宋" w:hAnsi="仿宋_GB2312;仿宋" w:eastAsia="仿宋_GB2312;仿宋" w:cs="仿宋_GB2312;仿宋"/>
          <w:sz w:val="32"/>
          <w:szCs w:val="32"/>
          <w:lang w:val="en-US" w:eastAsia="zh-CN"/>
        </w:rPr>
        <w:t>100</w:t>
      </w:r>
      <w:r>
        <w:rPr>
          <w:rFonts w:ascii="仿宋_GB2312;仿宋" w:hAnsi="仿宋_GB2312;仿宋" w:eastAsia="仿宋_GB2312;仿宋" w:cs="仿宋_GB2312;仿宋"/>
          <w:sz w:val="32"/>
          <w:szCs w:val="32"/>
        </w:rPr>
        <w:t>%。通过项目实施，保障</w:t>
      </w:r>
      <w:r>
        <w:rPr>
          <w:rFonts w:ascii="仿宋_GB2312;仿宋" w:hAnsi="仿宋_GB2312;仿宋" w:eastAsia="仿宋_GB2312;仿宋" w:cs="仿宋_GB2312;仿宋"/>
          <w:sz w:val="32"/>
          <w:szCs w:val="32"/>
          <w:lang w:eastAsia="zh-CN"/>
        </w:rPr>
        <w:t>我中心支部党建工作的有序开展</w:t>
      </w:r>
      <w:r>
        <w:rPr>
          <w:rFonts w:ascii="仿宋_GB2312;仿宋" w:hAnsi="仿宋_GB2312;仿宋" w:eastAsia="仿宋_GB2312;仿宋" w:cs="仿宋_GB2312;仿宋"/>
          <w:sz w:val="32"/>
          <w:szCs w:val="32"/>
        </w:rPr>
        <w:t>，发现的主要问题：</w:t>
      </w:r>
      <w:r>
        <w:rPr>
          <w:rFonts w:ascii="仿宋_GB2312;仿宋" w:hAnsi="仿宋_GB2312;仿宋" w:eastAsia="仿宋_GB2312;仿宋" w:cs="仿宋_GB2312;仿宋"/>
          <w:sz w:val="32"/>
          <w:szCs w:val="32"/>
          <w:lang w:eastAsia="zh-CN"/>
        </w:rPr>
        <w:t>资金预算少</w:t>
      </w:r>
      <w:r>
        <w:rPr>
          <w:rFonts w:ascii="仿宋_GB2312;仿宋" w:hAnsi="仿宋_GB2312;仿宋" w:eastAsia="仿宋_GB2312;仿宋" w:cs="仿宋_GB2312;仿宋"/>
          <w:sz w:val="32"/>
          <w:szCs w:val="32"/>
        </w:rPr>
        <w:t>。下一步改进措施：</w:t>
      </w:r>
      <w:r>
        <w:rPr>
          <w:rFonts w:ascii="仿宋_GB2312;仿宋" w:hAnsi="仿宋_GB2312;仿宋" w:eastAsia="仿宋_GB2312;仿宋" w:cs="仿宋_GB2312;仿宋"/>
          <w:sz w:val="32"/>
          <w:szCs w:val="32"/>
          <w:lang w:eastAsia="zh-CN"/>
        </w:rPr>
        <w:t>增加财政预算。</w:t>
      </w:r>
    </w:p>
    <w:p>
      <w:pPr>
        <w:spacing w:line="580" w:lineRule="exact"/>
        <w:rPr>
          <w:rFonts w:ascii="仿宋_GB2312;仿宋" w:hAnsi="仿宋_GB2312;仿宋" w:eastAsia="仿宋_GB2312;仿宋" w:cs="仿宋_GB2312;仿宋"/>
          <w:sz w:val="32"/>
          <w:szCs w:val="32"/>
          <w:lang w:eastAsia="zh-CN"/>
        </w:rPr>
      </w:pPr>
      <w:r>
        <w:rPr>
          <w:rFonts w:ascii="仿宋_GB2312;仿宋" w:hAnsi="仿宋_GB2312;仿宋" w:eastAsia="仿宋_GB2312;仿宋" w:cs="仿宋_GB2312;仿宋"/>
          <w:sz w:val="32"/>
          <w:szCs w:val="32"/>
        </w:rPr>
        <w:t>（3）</w:t>
      </w:r>
      <w:r>
        <w:rPr>
          <w:rFonts w:ascii="仿宋_GB2312;仿宋" w:hAnsi="仿宋_GB2312;仿宋" w:eastAsia="仿宋_GB2312;仿宋" w:cs="仿宋_GB2312;仿宋"/>
          <w:sz w:val="32"/>
          <w:szCs w:val="32"/>
          <w:lang w:eastAsia="zh-CN"/>
        </w:rPr>
        <w:t>房租</w:t>
      </w:r>
      <w:r>
        <w:rPr>
          <w:rFonts w:ascii="仿宋_GB2312;仿宋" w:hAnsi="仿宋_GB2312;仿宋" w:eastAsia="仿宋_GB2312;仿宋" w:cs="仿宋_GB2312;仿宋"/>
          <w:sz w:val="32"/>
          <w:szCs w:val="32"/>
        </w:rPr>
        <w:t>项目绩效目标完成情况综述。项目全年预算数</w:t>
      </w:r>
      <w:r>
        <w:rPr>
          <w:rFonts w:ascii="仿宋_GB2312;仿宋" w:hAnsi="仿宋_GB2312;仿宋" w:eastAsia="仿宋_GB2312;仿宋" w:cs="仿宋_GB2312;仿宋"/>
          <w:sz w:val="32"/>
          <w:szCs w:val="32"/>
          <w:lang w:val="en-US" w:eastAsia="zh-CN"/>
        </w:rPr>
        <w:t>12.5</w:t>
      </w:r>
      <w:r>
        <w:rPr>
          <w:rFonts w:ascii="仿宋_GB2312;仿宋" w:hAnsi="仿宋_GB2312;仿宋" w:eastAsia="仿宋_GB2312;仿宋" w:cs="仿宋_GB2312;仿宋"/>
          <w:sz w:val="32"/>
          <w:szCs w:val="32"/>
        </w:rPr>
        <w:t>万元，执行数为</w:t>
      </w:r>
      <w:r>
        <w:rPr>
          <w:rFonts w:ascii="仿宋_GB2312;仿宋" w:hAnsi="仿宋_GB2312;仿宋" w:eastAsia="仿宋_GB2312;仿宋" w:cs="仿宋_GB2312;仿宋"/>
          <w:sz w:val="32"/>
          <w:szCs w:val="32"/>
          <w:lang w:val="en-US" w:eastAsia="zh-CN"/>
        </w:rPr>
        <w:t>12.5</w:t>
      </w:r>
      <w:r>
        <w:rPr>
          <w:rFonts w:ascii="仿宋_GB2312;仿宋" w:hAnsi="仿宋_GB2312;仿宋" w:eastAsia="仿宋_GB2312;仿宋" w:cs="仿宋_GB2312;仿宋"/>
          <w:sz w:val="32"/>
          <w:szCs w:val="32"/>
        </w:rPr>
        <w:t>万元，完成预算的</w:t>
      </w:r>
      <w:r>
        <w:rPr>
          <w:rFonts w:ascii="仿宋_GB2312;仿宋" w:hAnsi="仿宋_GB2312;仿宋" w:eastAsia="仿宋_GB2312;仿宋" w:cs="仿宋_GB2312;仿宋"/>
          <w:sz w:val="32"/>
          <w:szCs w:val="32"/>
          <w:lang w:val="en-US" w:eastAsia="zh-CN"/>
        </w:rPr>
        <w:t>100</w:t>
      </w:r>
      <w:r>
        <w:rPr>
          <w:rFonts w:ascii="仿宋_GB2312;仿宋" w:hAnsi="仿宋_GB2312;仿宋" w:eastAsia="仿宋_GB2312;仿宋" w:cs="仿宋_GB2312;仿宋"/>
          <w:sz w:val="32"/>
          <w:szCs w:val="32"/>
        </w:rPr>
        <w:t>%。通过项目实施，保障</w:t>
      </w:r>
      <w:r>
        <w:rPr>
          <w:rFonts w:ascii="仿宋_GB2312;仿宋" w:hAnsi="仿宋_GB2312;仿宋" w:eastAsia="仿宋_GB2312;仿宋" w:cs="仿宋_GB2312;仿宋"/>
          <w:sz w:val="32"/>
          <w:szCs w:val="32"/>
          <w:lang w:eastAsia="zh-CN"/>
        </w:rPr>
        <w:t>了我中心各项工作有序开展，</w:t>
      </w:r>
      <w:r>
        <w:rPr>
          <w:rFonts w:ascii="仿宋_GB2312;仿宋" w:hAnsi="仿宋_GB2312;仿宋" w:eastAsia="仿宋_GB2312;仿宋" w:cs="仿宋_GB2312;仿宋"/>
          <w:sz w:val="32"/>
          <w:szCs w:val="32"/>
        </w:rPr>
        <w:t>发现的主要问题：</w:t>
      </w:r>
      <w:r>
        <w:rPr>
          <w:rFonts w:ascii="仿宋_GB2312;仿宋" w:hAnsi="仿宋_GB2312;仿宋" w:eastAsia="仿宋_GB2312;仿宋" w:cs="仿宋_GB2312;仿宋"/>
          <w:sz w:val="32"/>
          <w:szCs w:val="32"/>
          <w:lang w:eastAsia="zh-CN"/>
        </w:rPr>
        <w:t>无</w:t>
      </w:r>
      <w:r>
        <w:rPr>
          <w:rFonts w:ascii="仿宋_GB2312;仿宋" w:hAnsi="仿宋_GB2312;仿宋" w:eastAsia="仿宋_GB2312;仿宋" w:cs="仿宋_GB2312;仿宋"/>
          <w:sz w:val="32"/>
          <w:szCs w:val="32"/>
        </w:rPr>
        <w:t>。下一步改进措施：</w:t>
      </w:r>
      <w:r>
        <w:rPr>
          <w:rFonts w:ascii="仿宋_GB2312;仿宋" w:hAnsi="仿宋_GB2312;仿宋" w:eastAsia="仿宋_GB2312;仿宋" w:cs="仿宋_GB2312;仿宋"/>
          <w:sz w:val="32"/>
          <w:szCs w:val="32"/>
          <w:lang w:eastAsia="zh-CN"/>
        </w:rPr>
        <w:t>无</w:t>
      </w:r>
    </w:p>
    <w:p>
      <w:pPr>
        <w:spacing w:line="580" w:lineRule="exact"/>
        <w:rPr>
          <w:rFonts w:ascii="仿宋_GB2312;仿宋" w:hAnsi="仿宋_GB2312;仿宋" w:eastAsia="仿宋_GB2312;仿宋" w:cs="仿宋_GB2312;仿宋"/>
          <w:sz w:val="32"/>
          <w:szCs w:val="32"/>
          <w:lang w:eastAsia="zh-CN"/>
        </w:rPr>
      </w:pP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tbl>
      <w:tblPr>
        <w:tblStyle w:val="9"/>
        <w:tblW w:w="10228" w:type="dxa"/>
        <w:jc w:val="center"/>
        <w:tblLayout w:type="fixed"/>
        <w:tblCellMar>
          <w:top w:w="15" w:type="dxa"/>
          <w:left w:w="15" w:type="dxa"/>
          <w:bottom w:w="0" w:type="dxa"/>
          <w:right w:w="15" w:type="dxa"/>
        </w:tblCellMar>
      </w:tblPr>
      <w:tblGrid>
        <w:gridCol w:w="648"/>
        <w:gridCol w:w="1367"/>
        <w:gridCol w:w="1025"/>
        <w:gridCol w:w="2392"/>
        <w:gridCol w:w="2394"/>
        <w:gridCol w:w="2392"/>
      </w:tblGrid>
      <w:tr>
        <w:tblPrEx>
          <w:tblCellMar>
            <w:top w:w="15" w:type="dxa"/>
            <w:left w:w="15" w:type="dxa"/>
            <w:bottom w:w="0" w:type="dxa"/>
            <w:right w:w="15" w:type="dxa"/>
          </w:tblCellMar>
        </w:tblPrEx>
        <w:trPr>
          <w:trHeight w:val="1034" w:hRule="atLeast"/>
          <w:jc w:val="center"/>
        </w:trPr>
        <w:tc>
          <w:tcPr>
            <w:tcW w:w="10218" w:type="dxa"/>
            <w:gridSpan w:val="6"/>
            <w:vAlign w:val="center"/>
          </w:tcPr>
          <w:p>
            <w:pPr>
              <w:widowControl/>
              <w:jc w:val="center"/>
              <w:textAlignment w:val="center"/>
              <w:rPr>
                <w:rFonts w:ascii="宋体" w:hAnsi="宋体" w:cs="宋体"/>
                <w:color w:val="000000"/>
                <w:sz w:val="36"/>
                <w:szCs w:val="36"/>
              </w:rPr>
            </w:pPr>
            <w:r>
              <w:rPr>
                <w:rFonts w:ascii="宋体" w:hAnsi="宋体" w:cs="宋体"/>
                <w:b/>
                <w:bCs/>
                <w:color w:val="000000"/>
                <w:kern w:val="0"/>
                <w:sz w:val="36"/>
                <w:szCs w:val="36"/>
                <w:lang w:bidi="ar"/>
              </w:rPr>
              <w:t>项目绩效目标完成情况表</w:t>
            </w:r>
            <w:r>
              <w:rPr>
                <w:rFonts w:ascii="宋体" w:hAnsi="宋体" w:cs="宋体"/>
                <w:b/>
                <w:bCs/>
                <w:color w:val="000000"/>
                <w:kern w:val="0"/>
                <w:sz w:val="36"/>
                <w:szCs w:val="36"/>
                <w:lang w:bidi="ar"/>
              </w:rPr>
              <w:br w:type="textWrapping"/>
            </w:r>
            <w:r>
              <w:rPr>
                <w:rFonts w:ascii="宋体" w:hAnsi="宋体" w:cs="宋体"/>
                <w:color w:val="000000"/>
                <w:kern w:val="0"/>
                <w:sz w:val="36"/>
                <w:szCs w:val="36"/>
                <w:lang w:bidi="ar"/>
              </w:rPr>
              <w:t>(2020年度)</w:t>
            </w:r>
          </w:p>
        </w:tc>
      </w:tr>
      <w:tr>
        <w:tblPrEx>
          <w:tblCellMar>
            <w:top w:w="15" w:type="dxa"/>
            <w:left w:w="15" w:type="dxa"/>
            <w:bottom w:w="0" w:type="dxa"/>
            <w:right w:w="15" w:type="dxa"/>
          </w:tblCellMar>
        </w:tblPrEx>
        <w:trPr>
          <w:trHeight w:val="276" w:hRule="atLeast"/>
          <w:jc w:val="center"/>
        </w:trPr>
        <w:tc>
          <w:tcPr>
            <w:tcW w:w="30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项目名称</w:t>
            </w:r>
          </w:p>
        </w:tc>
        <w:tc>
          <w:tcPr>
            <w:tcW w:w="71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铁路沿线整治费用（万元）</w:t>
            </w:r>
          </w:p>
        </w:tc>
      </w:tr>
      <w:tr>
        <w:tblPrEx>
          <w:tblCellMar>
            <w:top w:w="15" w:type="dxa"/>
            <w:left w:w="15" w:type="dxa"/>
            <w:bottom w:w="0" w:type="dxa"/>
            <w:right w:w="15" w:type="dxa"/>
          </w:tblCellMar>
        </w:tblPrEx>
        <w:trPr>
          <w:trHeight w:val="276" w:hRule="atLeast"/>
          <w:jc w:val="center"/>
        </w:trPr>
        <w:tc>
          <w:tcPr>
            <w:tcW w:w="30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预算单位</w:t>
            </w:r>
          </w:p>
        </w:tc>
        <w:tc>
          <w:tcPr>
            <w:tcW w:w="71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达州市达川区城乡环境综合治理中心</w:t>
            </w:r>
          </w:p>
        </w:tc>
      </w:tr>
      <w:tr>
        <w:tblPrEx>
          <w:tblCellMar>
            <w:top w:w="15" w:type="dxa"/>
            <w:left w:w="15" w:type="dxa"/>
            <w:bottom w:w="0" w:type="dxa"/>
            <w:right w:w="15" w:type="dxa"/>
          </w:tblCellMar>
        </w:tblPrEx>
        <w:trPr>
          <w:trHeight w:val="276"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20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执行数:</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20</w:t>
            </w:r>
          </w:p>
        </w:tc>
      </w:tr>
      <w:tr>
        <w:tblPrEx>
          <w:tblCellMar>
            <w:top w:w="15" w:type="dxa"/>
            <w:left w:w="15" w:type="dxa"/>
            <w:bottom w:w="0" w:type="dxa"/>
            <w:right w:w="15" w:type="dxa"/>
          </w:tblCellMar>
        </w:tblPrEx>
        <w:trPr>
          <w:trHeight w:val="276"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eastAsia="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20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其中-财政拨款:</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20</w:t>
            </w:r>
          </w:p>
        </w:tc>
      </w:tr>
      <w:tr>
        <w:tblPrEx>
          <w:tblCellMar>
            <w:top w:w="15" w:type="dxa"/>
            <w:left w:w="15" w:type="dxa"/>
            <w:bottom w:w="0" w:type="dxa"/>
            <w:right w:w="15" w:type="dxa"/>
          </w:tblCellMar>
        </w:tblPrEx>
        <w:trPr>
          <w:trHeight w:val="1511"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eastAsia="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其它资金:</w:t>
            </w:r>
          </w:p>
        </w:tc>
        <w:tc>
          <w:tcPr>
            <w:tcW w:w="24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lang w:val="en-US" w:eastAsia="zh-CN"/>
              </w:rPr>
            </w:pPr>
            <w:r>
              <w:rPr>
                <w:rFonts w:ascii="宋体" w:hAnsi="宋体" w:cs="宋体"/>
                <w:color w:val="000000"/>
                <w:sz w:val="24"/>
                <w:lang w:val="en-US" w:eastAsia="zh-CN"/>
              </w:rPr>
              <w:t>0</w:t>
            </w:r>
          </w:p>
        </w:tc>
      </w:tr>
      <w:tr>
        <w:tblPrEx>
          <w:tblCellMar>
            <w:top w:w="15" w:type="dxa"/>
            <w:left w:w="15" w:type="dxa"/>
            <w:bottom w:w="0" w:type="dxa"/>
            <w:right w:w="15" w:type="dxa"/>
          </w:tblCellMar>
        </w:tblPrEx>
        <w:trPr>
          <w:trHeight w:val="276"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预期目标</w:t>
            </w:r>
          </w:p>
        </w:tc>
        <w:tc>
          <w:tcPr>
            <w:tcW w:w="47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实际完成目标</w:t>
            </w:r>
          </w:p>
        </w:tc>
      </w:tr>
      <w:tr>
        <w:tblPrEx>
          <w:tblCellMar>
            <w:top w:w="15" w:type="dxa"/>
            <w:left w:w="15" w:type="dxa"/>
            <w:bottom w:w="0" w:type="dxa"/>
            <w:right w:w="15" w:type="dxa"/>
          </w:tblCellMar>
        </w:tblPrEx>
        <w:trPr>
          <w:trHeight w:val="1159"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全区铁路沿线环境治理任务</w:t>
            </w:r>
          </w:p>
        </w:tc>
        <w:tc>
          <w:tcPr>
            <w:tcW w:w="47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完成全区铁路沿线环境治理工作任务</w:t>
            </w:r>
          </w:p>
        </w:tc>
      </w:tr>
      <w:tr>
        <w:tblPrEx>
          <w:tblCellMar>
            <w:top w:w="15" w:type="dxa"/>
            <w:left w:w="15" w:type="dxa"/>
            <w:bottom w:w="0" w:type="dxa"/>
            <w:right w:w="15" w:type="dxa"/>
          </w:tblCellMar>
        </w:tblPrEx>
        <w:trPr>
          <w:trHeight w:val="1042" w:hRule="atLeast"/>
          <w:jc w:val="center"/>
        </w:trPr>
        <w:tc>
          <w:tcPr>
            <w:tcW w:w="648"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预期指标值(包含数字及文字描述)</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实际完成指标值(包含数字及文字描述)</w:t>
            </w:r>
          </w:p>
        </w:tc>
      </w:tr>
      <w:tr>
        <w:tblPrEx>
          <w:tblCellMar>
            <w:top w:w="15" w:type="dxa"/>
            <w:left w:w="15" w:type="dxa"/>
            <w:bottom w:w="0" w:type="dxa"/>
            <w:right w:w="15" w:type="dxa"/>
          </w:tblCellMar>
        </w:tblPrEx>
        <w:trPr>
          <w:trHeight w:val="953" w:hRule="atLeast"/>
          <w:jc w:val="center"/>
        </w:trPr>
        <w:tc>
          <w:tcPr>
            <w:tcW w:w="648" w:type="dxa"/>
            <w:vMerge w:val="continue"/>
            <w:tcBorders>
              <w:top w:val="single" w:color="000000" w:sz="4" w:space="0"/>
              <w:left w:val="single" w:color="000000" w:sz="4" w:space="0"/>
              <w:right w:val="single" w:color="000000" w:sz="4" w:space="0"/>
            </w:tcBorders>
            <w:vAlign w:val="center"/>
          </w:tcPr>
          <w:p>
            <w:pPr>
              <w:widowControl/>
              <w:snapToGrid w:val="0"/>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完成全区铁路沿线环境治理工作</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24"/>
                <w:szCs w:val="24"/>
                <w:lang w:val="en-US" w:eastAsia="zh-CN" w:bidi="ar-SA"/>
              </w:rPr>
            </w:pPr>
            <w:r>
              <w:rPr>
                <w:rFonts w:ascii="宋体" w:hAnsi="宋体" w:cs="宋体"/>
                <w:color w:val="000000"/>
                <w:sz w:val="24"/>
                <w:lang w:eastAsia="zh-CN"/>
              </w:rPr>
              <w:t>改善人居环境、提高生活水平</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24"/>
                <w:szCs w:val="24"/>
                <w:lang w:val="en-US" w:eastAsia="zh-CN" w:bidi="ar-SA"/>
              </w:rPr>
            </w:pPr>
            <w:r>
              <w:rPr>
                <w:rFonts w:ascii="宋体" w:hAnsi="宋体" w:cs="宋体"/>
                <w:color w:val="000000"/>
                <w:sz w:val="24"/>
                <w:lang w:val="en-US" w:eastAsia="zh-CN"/>
              </w:rPr>
              <w:t>全区各乡镇、街道</w:t>
            </w:r>
          </w:p>
        </w:tc>
      </w:tr>
      <w:tr>
        <w:tblPrEx>
          <w:tblCellMar>
            <w:top w:w="15" w:type="dxa"/>
            <w:left w:w="15" w:type="dxa"/>
            <w:bottom w:w="0" w:type="dxa"/>
            <w:right w:w="15" w:type="dxa"/>
          </w:tblCellMar>
        </w:tblPrEx>
        <w:trPr>
          <w:trHeight w:val="1297" w:hRule="atLeast"/>
          <w:jc w:val="center"/>
        </w:trPr>
        <w:tc>
          <w:tcPr>
            <w:tcW w:w="648" w:type="dxa"/>
            <w:vMerge w:val="continue"/>
            <w:tcBorders>
              <w:top w:val="single" w:color="000000" w:sz="4" w:space="0"/>
              <w:left w:val="single" w:color="000000" w:sz="4" w:space="0"/>
              <w:right w:val="single" w:color="000000" w:sz="4" w:space="0"/>
            </w:tcBorders>
            <w:vAlign w:val="center"/>
          </w:tcPr>
          <w:p>
            <w:pPr>
              <w:widowControl/>
              <w:snapToGrid w:val="0"/>
              <w:jc w:val="center"/>
              <w:textAlignment w:val="center"/>
              <w:rPr>
                <w:rFonts w:ascii="宋体" w:hAnsi="宋体" w:eastAsia="宋体" w:cs="宋体"/>
                <w:color w:val="000000"/>
                <w:kern w:val="2"/>
                <w:sz w:val="24"/>
                <w:szCs w:val="24"/>
                <w:lang w:val="en-US" w:eastAsia="zh-CN" w:bidi="ar-SA"/>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环境干净整治</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24"/>
                <w:szCs w:val="24"/>
                <w:lang w:val="en-US" w:eastAsia="zh-CN" w:bidi="ar-SA"/>
              </w:rPr>
            </w:pPr>
            <w:r>
              <w:rPr>
                <w:rFonts w:ascii="宋体" w:hAnsi="宋体" w:cs="宋体"/>
                <w:color w:val="000000"/>
                <w:sz w:val="24"/>
                <w:lang w:eastAsia="zh-CN"/>
              </w:rPr>
              <w:t>城乡环境干净、整洁、有序</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2"/>
                <w:sz w:val="24"/>
                <w:szCs w:val="24"/>
                <w:lang w:val="en-US" w:eastAsia="zh-CN" w:bidi="ar-SA"/>
              </w:rPr>
            </w:pPr>
            <w:r>
              <w:rPr>
                <w:rFonts w:ascii="宋体" w:hAnsi="宋体" w:cs="宋体"/>
                <w:color w:val="000000"/>
                <w:sz w:val="24"/>
                <w:lang w:eastAsia="zh-CN"/>
              </w:rPr>
              <w:t>城乡环境干净、整洁、有序</w:t>
            </w:r>
          </w:p>
        </w:tc>
      </w:tr>
      <w:tr>
        <w:tblPrEx>
          <w:tblCellMar>
            <w:top w:w="15" w:type="dxa"/>
            <w:left w:w="15" w:type="dxa"/>
            <w:bottom w:w="0" w:type="dxa"/>
            <w:right w:w="15" w:type="dxa"/>
          </w:tblCellMar>
        </w:tblPrEx>
        <w:trPr>
          <w:trHeight w:val="1042" w:hRule="atLeast"/>
          <w:jc w:val="center"/>
        </w:trPr>
        <w:tc>
          <w:tcPr>
            <w:tcW w:w="648" w:type="dxa"/>
            <w:vMerge w:val="continue"/>
            <w:tcBorders>
              <w:top w:val="single" w:color="000000" w:sz="4" w:space="0"/>
              <w:left w:val="single" w:color="000000" w:sz="4" w:space="0"/>
              <w:right w:val="single" w:color="000000" w:sz="4" w:space="0"/>
            </w:tcBorders>
            <w:vAlign w:val="center"/>
          </w:tcPr>
          <w:p>
            <w:pPr>
              <w:widowControl/>
              <w:snapToGrid w:val="0"/>
              <w:jc w:val="center"/>
              <w:textAlignment w:val="center"/>
              <w:rPr>
                <w:rFonts w:ascii="宋体" w:hAnsi="宋体" w:cs="宋体"/>
                <w:color w:val="000000"/>
                <w:kern w:val="2"/>
                <w:sz w:val="24"/>
                <w:szCs w:val="24"/>
                <w:lang w:val="en-US" w:eastAsia="zh-CN" w:bidi="ar-SA"/>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全年</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24"/>
                <w:szCs w:val="24"/>
                <w:lang w:val="en-US" w:eastAsia="zh-CN" w:bidi="ar-SA"/>
              </w:rPr>
            </w:pPr>
            <w:r>
              <w:rPr>
                <w:rFonts w:ascii="宋体" w:hAnsi="宋体" w:cs="宋体"/>
                <w:color w:val="000000"/>
                <w:sz w:val="24"/>
                <w:lang w:val="en-US" w:eastAsia="zh-CN"/>
              </w:rPr>
              <w:t>2020年</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24"/>
                <w:szCs w:val="24"/>
                <w:lang w:val="en-US" w:eastAsia="zh-CN" w:bidi="ar-SA"/>
              </w:rPr>
            </w:pPr>
            <w:r>
              <w:rPr>
                <w:rFonts w:ascii="宋体" w:hAnsi="宋体" w:cs="宋体"/>
                <w:color w:val="000000"/>
                <w:sz w:val="24"/>
                <w:lang w:val="en-US" w:eastAsia="zh-CN"/>
              </w:rPr>
              <w:t>2020年</w:t>
            </w:r>
          </w:p>
        </w:tc>
      </w:tr>
      <w:tr>
        <w:tblPrEx>
          <w:tblCellMar>
            <w:top w:w="15" w:type="dxa"/>
            <w:left w:w="15" w:type="dxa"/>
            <w:bottom w:w="0" w:type="dxa"/>
            <w:right w:w="15" w:type="dxa"/>
          </w:tblCellMar>
        </w:tblPrEx>
        <w:trPr>
          <w:trHeight w:val="1042" w:hRule="atLeast"/>
          <w:jc w:val="center"/>
        </w:trPr>
        <w:tc>
          <w:tcPr>
            <w:tcW w:w="648" w:type="dxa"/>
            <w:vMerge w:val="continue"/>
            <w:tcBorders>
              <w:top w:val="single" w:color="000000" w:sz="4" w:space="0"/>
              <w:left w:val="single" w:color="000000" w:sz="4" w:space="0"/>
              <w:right w:val="single" w:color="000000" w:sz="4" w:space="0"/>
            </w:tcBorders>
            <w:vAlign w:val="center"/>
          </w:tcPr>
          <w:p>
            <w:pPr>
              <w:widowControl/>
              <w:snapToGrid w:val="0"/>
              <w:jc w:val="center"/>
              <w:textAlignment w:val="center"/>
              <w:rPr>
                <w:rFonts w:ascii="宋体" w:hAnsi="宋体" w:eastAsia="宋体" w:cs="宋体"/>
                <w:color w:val="000000"/>
                <w:kern w:val="2"/>
                <w:sz w:val="24"/>
                <w:szCs w:val="24"/>
                <w:lang w:val="en-US" w:eastAsia="zh-CN" w:bidi="ar-SA"/>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eastAsia="zh-CN"/>
              </w:rPr>
              <w:t>铁路沿线整治费用</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24"/>
                <w:szCs w:val="24"/>
                <w:lang w:val="en-US" w:eastAsia="zh-CN" w:bidi="ar-SA"/>
              </w:rPr>
            </w:pPr>
            <w:r>
              <w:rPr>
                <w:rFonts w:ascii="宋体" w:hAnsi="宋体" w:cs="宋体"/>
                <w:color w:val="000000"/>
                <w:sz w:val="24"/>
                <w:lang w:eastAsia="zh-CN"/>
              </w:rPr>
              <w:t>铁路沿线整治费用</w:t>
            </w:r>
            <w:r>
              <w:rPr>
                <w:rFonts w:ascii="宋体" w:hAnsi="宋体" w:cs="宋体"/>
                <w:color w:val="000000"/>
                <w:sz w:val="24"/>
                <w:lang w:val="en-US" w:eastAsia="zh-CN"/>
              </w:rPr>
              <w:t>20万</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2"/>
                <w:sz w:val="24"/>
                <w:szCs w:val="24"/>
                <w:lang w:val="en-US" w:eastAsia="zh-CN" w:bidi="ar-SA"/>
              </w:rPr>
            </w:pPr>
            <w:r>
              <w:rPr>
                <w:rFonts w:ascii="宋体" w:hAnsi="宋体" w:cs="宋体"/>
                <w:color w:val="000000"/>
                <w:sz w:val="24"/>
                <w:lang w:eastAsia="zh-CN"/>
              </w:rPr>
              <w:t>铁路沿线整治费用</w:t>
            </w:r>
            <w:r>
              <w:rPr>
                <w:rFonts w:ascii="宋体" w:hAnsi="宋体" w:cs="宋体"/>
                <w:color w:val="000000"/>
                <w:sz w:val="24"/>
                <w:lang w:val="en-US" w:eastAsia="zh-CN"/>
              </w:rPr>
              <w:t>20万</w:t>
            </w:r>
          </w:p>
        </w:tc>
      </w:tr>
      <w:tr>
        <w:tblPrEx>
          <w:tblCellMar>
            <w:top w:w="15" w:type="dxa"/>
            <w:left w:w="15" w:type="dxa"/>
            <w:bottom w:w="0" w:type="dxa"/>
            <w:right w:w="15" w:type="dxa"/>
          </w:tblCellMar>
        </w:tblPrEx>
        <w:trPr>
          <w:trHeight w:val="1042" w:hRule="atLeast"/>
          <w:jc w:val="center"/>
        </w:trPr>
        <w:tc>
          <w:tcPr>
            <w:tcW w:w="648" w:type="dxa"/>
            <w:vMerge w:val="continue"/>
            <w:tcBorders>
              <w:top w:val="single" w:color="000000" w:sz="4" w:space="0"/>
              <w:left w:val="single" w:color="000000" w:sz="4" w:space="0"/>
              <w:right w:val="single" w:color="000000" w:sz="4" w:space="0"/>
            </w:tcBorders>
            <w:vAlign w:val="center"/>
          </w:tcPr>
          <w:p>
            <w:pPr>
              <w:widowControl/>
              <w:snapToGrid w:val="0"/>
              <w:jc w:val="center"/>
              <w:textAlignment w:val="center"/>
              <w:rPr>
                <w:rFonts w:ascii="宋体" w:hAnsi="宋体" w:cs="宋体"/>
                <w:color w:val="000000"/>
                <w:kern w:val="2"/>
                <w:sz w:val="24"/>
                <w:szCs w:val="24"/>
                <w:lang w:val="en-US" w:eastAsia="zh-CN" w:bidi="ar-SA"/>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干净、整洁、有序</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24"/>
                <w:szCs w:val="24"/>
                <w:lang w:val="en-US" w:eastAsia="zh-CN" w:bidi="ar-SA"/>
              </w:rPr>
            </w:pPr>
            <w:r>
              <w:rPr>
                <w:rFonts w:ascii="宋体" w:hAnsi="宋体" w:cs="宋体"/>
                <w:color w:val="000000"/>
                <w:sz w:val="24"/>
                <w:lang w:eastAsia="zh-CN"/>
              </w:rPr>
              <w:t>铁路沿线环境干净、整洁、有序</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2"/>
                <w:sz w:val="24"/>
                <w:szCs w:val="24"/>
                <w:lang w:val="en-US" w:eastAsia="zh-CN" w:bidi="ar-SA"/>
              </w:rPr>
            </w:pPr>
            <w:r>
              <w:rPr>
                <w:rFonts w:ascii="宋体" w:hAnsi="宋体" w:cs="宋体"/>
                <w:color w:val="000000"/>
                <w:sz w:val="24"/>
                <w:lang w:eastAsia="zh-CN"/>
              </w:rPr>
              <w:t>城乡环境干净、整洁、有序</w:t>
            </w:r>
          </w:p>
        </w:tc>
      </w:tr>
      <w:tr>
        <w:tblPrEx>
          <w:tblCellMar>
            <w:top w:w="15" w:type="dxa"/>
            <w:left w:w="15" w:type="dxa"/>
            <w:bottom w:w="0" w:type="dxa"/>
            <w:right w:w="15" w:type="dxa"/>
          </w:tblCellMar>
        </w:tblPrEx>
        <w:trPr>
          <w:trHeight w:val="1050" w:hRule="atLeast"/>
          <w:jc w:val="center"/>
        </w:trPr>
        <w:tc>
          <w:tcPr>
            <w:tcW w:w="648" w:type="dxa"/>
            <w:vMerge w:val="continue"/>
            <w:tcBorders>
              <w:top w:val="single" w:color="000000" w:sz="4" w:space="0"/>
              <w:left w:val="single" w:color="000000" w:sz="4" w:space="0"/>
              <w:right w:val="single" w:color="000000" w:sz="4" w:space="0"/>
            </w:tcBorders>
            <w:vAlign w:val="center"/>
          </w:tcPr>
          <w:p>
            <w:pPr>
              <w:widowControl/>
              <w:snapToGrid w:val="0"/>
              <w:jc w:val="center"/>
              <w:textAlignment w:val="center"/>
              <w:rPr>
                <w:rFonts w:ascii="宋体" w:hAnsi="宋体" w:cs="宋体"/>
                <w:color w:val="000000"/>
                <w:kern w:val="2"/>
                <w:sz w:val="24"/>
                <w:szCs w:val="24"/>
                <w:lang w:val="en-US" w:eastAsia="zh-CN" w:bidi="ar-SA"/>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24"/>
                <w:szCs w:val="24"/>
                <w:lang w:val="en-US" w:eastAsia="zh-CN" w:bidi="ar-SA"/>
              </w:rPr>
            </w:pPr>
            <w:r>
              <w:rPr>
                <w:rFonts w:ascii="宋体" w:hAnsi="宋体" w:cs="宋体"/>
                <w:color w:val="000000"/>
                <w:sz w:val="24"/>
                <w:lang w:eastAsia="zh-CN"/>
              </w:rPr>
              <w:t>城乡居民</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kern w:val="2"/>
                <w:sz w:val="24"/>
                <w:szCs w:val="24"/>
                <w:lang w:val="en-US" w:eastAsia="zh-CN" w:bidi="ar-SA"/>
              </w:rPr>
            </w:pPr>
            <w:r>
              <w:rPr>
                <w:rFonts w:ascii="宋体" w:hAnsi="宋体" w:cs="宋体"/>
                <w:color w:val="000000"/>
                <w:sz w:val="24"/>
                <w:lang w:eastAsia="zh-CN"/>
              </w:rPr>
              <w:t>大于等于</w:t>
            </w:r>
            <w:r>
              <w:rPr>
                <w:rFonts w:ascii="宋体" w:hAnsi="宋体" w:cs="宋体"/>
                <w:color w:val="000000"/>
                <w:sz w:val="24"/>
                <w:lang w:val="en-US" w:eastAsia="zh-CN"/>
              </w:rPr>
              <w:t>90%</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2"/>
                <w:sz w:val="24"/>
                <w:szCs w:val="24"/>
                <w:lang w:val="en-US" w:eastAsia="zh-CN" w:bidi="ar-SA"/>
              </w:rPr>
            </w:pPr>
            <w:r>
              <w:rPr>
                <w:rFonts w:ascii="宋体" w:hAnsi="宋体" w:cs="宋体"/>
                <w:color w:val="000000"/>
                <w:sz w:val="24"/>
                <w:lang w:eastAsia="zh-CN"/>
              </w:rPr>
              <w:t>大于等于</w:t>
            </w:r>
            <w:r>
              <w:rPr>
                <w:rFonts w:ascii="宋体" w:hAnsi="宋体" w:cs="宋体"/>
                <w:color w:val="000000"/>
                <w:sz w:val="24"/>
                <w:lang w:val="en-US" w:eastAsia="zh-CN"/>
              </w:rPr>
              <w:t>90%</w:t>
            </w:r>
          </w:p>
        </w:tc>
      </w:tr>
      <w:tr>
        <w:tblPrEx>
          <w:tblCellMar>
            <w:top w:w="15" w:type="dxa"/>
            <w:left w:w="15" w:type="dxa"/>
            <w:bottom w:w="0" w:type="dxa"/>
            <w:right w:w="15" w:type="dxa"/>
          </w:tblCellMar>
        </w:tblPrEx>
        <w:trPr>
          <w:trHeight w:val="1034" w:hRule="atLeast"/>
          <w:jc w:val="center"/>
        </w:trPr>
        <w:tc>
          <w:tcPr>
            <w:tcW w:w="10218" w:type="dxa"/>
            <w:gridSpan w:val="6"/>
            <w:vAlign w:val="center"/>
          </w:tcPr>
          <w:p>
            <w:pPr>
              <w:pStyle w:val="17"/>
              <w:widowControl/>
              <w:ind w:left="4173" w:leftChars="0"/>
              <w:textAlignment w:val="center"/>
              <w:rPr>
                <w:rFonts w:ascii="宋体" w:hAnsi="宋体" w:cs="宋体"/>
                <w:color w:val="000000"/>
                <w:sz w:val="36"/>
                <w:szCs w:val="36"/>
              </w:rPr>
            </w:pPr>
            <w:r>
              <w:rPr>
                <w:rFonts w:ascii="黑体" w:hAnsi="黑体" w:eastAsia="黑体" w:cs="宋体"/>
                <w:bCs/>
                <w:color w:val="000000"/>
                <w:kern w:val="0"/>
                <w:sz w:val="36"/>
                <w:szCs w:val="36"/>
                <w:lang w:bidi="ar"/>
              </w:rPr>
              <w:t>项目支出绩效目标完成情况表</w:t>
            </w:r>
            <w:r>
              <w:rPr>
                <w:rFonts w:ascii="宋体" w:hAnsi="宋体" w:cs="宋体"/>
                <w:b/>
                <w:bCs/>
                <w:color w:val="000000"/>
                <w:kern w:val="0"/>
                <w:sz w:val="36"/>
                <w:szCs w:val="36"/>
                <w:lang w:bidi="ar"/>
              </w:rPr>
              <w:br w:type="textWrapping"/>
            </w:r>
            <w:r>
              <w:rPr>
                <w:rFonts w:ascii="宋体" w:hAnsi="宋体" w:cs="宋体"/>
                <w:color w:val="000000"/>
                <w:kern w:val="0"/>
                <w:sz w:val="36"/>
                <w:szCs w:val="36"/>
                <w:lang w:bidi="ar"/>
              </w:rPr>
              <w:t>(</w:t>
            </w:r>
            <w:r>
              <w:rPr>
                <w:rFonts w:ascii="宋体" w:hAnsi="宋体" w:cs="宋体"/>
                <w:color w:val="000000"/>
                <w:kern w:val="0"/>
                <w:sz w:val="36"/>
                <w:szCs w:val="36"/>
                <w:lang w:eastAsia="zh-CN" w:bidi="ar"/>
              </w:rPr>
              <w:t>20</w:t>
            </w:r>
            <w:r>
              <w:rPr>
                <w:rFonts w:ascii="宋体" w:hAnsi="宋体" w:cs="宋体"/>
                <w:color w:val="000000"/>
                <w:kern w:val="0"/>
                <w:sz w:val="36"/>
                <w:szCs w:val="36"/>
                <w:lang w:val="en-US" w:eastAsia="zh-CN" w:bidi="ar"/>
              </w:rPr>
              <w:t>20</w:t>
            </w:r>
            <w:r>
              <w:rPr>
                <w:rFonts w:ascii="宋体" w:hAnsi="宋体" w:cs="宋体"/>
                <w:color w:val="000000"/>
                <w:kern w:val="0"/>
                <w:sz w:val="36"/>
                <w:szCs w:val="36"/>
                <w:lang w:bidi="ar"/>
              </w:rPr>
              <w:t>年度)</w:t>
            </w:r>
          </w:p>
        </w:tc>
      </w:tr>
      <w:tr>
        <w:tblPrEx>
          <w:tblCellMar>
            <w:top w:w="15" w:type="dxa"/>
            <w:left w:w="15" w:type="dxa"/>
            <w:bottom w:w="0" w:type="dxa"/>
            <w:right w:w="15" w:type="dxa"/>
          </w:tblCellMar>
        </w:tblPrEx>
        <w:trPr>
          <w:trHeight w:val="276" w:hRule="atLeast"/>
          <w:jc w:val="center"/>
        </w:trPr>
        <w:tc>
          <w:tcPr>
            <w:tcW w:w="30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项目名称</w:t>
            </w:r>
          </w:p>
        </w:tc>
        <w:tc>
          <w:tcPr>
            <w:tcW w:w="71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房租（万元）</w:t>
            </w:r>
          </w:p>
        </w:tc>
      </w:tr>
      <w:tr>
        <w:tblPrEx>
          <w:tblCellMar>
            <w:top w:w="15" w:type="dxa"/>
            <w:left w:w="15" w:type="dxa"/>
            <w:bottom w:w="0" w:type="dxa"/>
            <w:right w:w="15" w:type="dxa"/>
          </w:tblCellMar>
        </w:tblPrEx>
        <w:trPr>
          <w:trHeight w:val="276" w:hRule="atLeast"/>
          <w:jc w:val="center"/>
        </w:trPr>
        <w:tc>
          <w:tcPr>
            <w:tcW w:w="304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预算单位</w:t>
            </w:r>
          </w:p>
        </w:tc>
        <w:tc>
          <w:tcPr>
            <w:tcW w:w="71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达川区城乡环境综合治理中心</w:t>
            </w:r>
          </w:p>
        </w:tc>
      </w:tr>
      <w:tr>
        <w:tblPrEx>
          <w:tblCellMar>
            <w:top w:w="15" w:type="dxa"/>
            <w:left w:w="15" w:type="dxa"/>
            <w:bottom w:w="0" w:type="dxa"/>
            <w:right w:w="15" w:type="dxa"/>
          </w:tblCellMar>
        </w:tblPrEx>
        <w:trPr>
          <w:trHeight w:val="276"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12.5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执行数:</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12.5</w:t>
            </w:r>
          </w:p>
        </w:tc>
      </w:tr>
      <w:tr>
        <w:tblPrEx>
          <w:tblCellMar>
            <w:top w:w="15" w:type="dxa"/>
            <w:left w:w="15" w:type="dxa"/>
            <w:bottom w:w="0" w:type="dxa"/>
            <w:right w:w="15" w:type="dxa"/>
          </w:tblCellMar>
        </w:tblPrEx>
        <w:trPr>
          <w:trHeight w:val="276"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eastAsia="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12.5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其中-财政拨款:</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12.5</w:t>
            </w:r>
          </w:p>
        </w:tc>
      </w:tr>
      <w:tr>
        <w:tblPrEx>
          <w:tblCellMar>
            <w:top w:w="15" w:type="dxa"/>
            <w:left w:w="15" w:type="dxa"/>
            <w:bottom w:w="0" w:type="dxa"/>
            <w:right w:w="15" w:type="dxa"/>
          </w:tblCellMar>
        </w:tblPrEx>
        <w:trPr>
          <w:trHeight w:val="1511"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eastAsia="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其它资金:</w:t>
            </w:r>
          </w:p>
        </w:tc>
        <w:tc>
          <w:tcPr>
            <w:tcW w:w="24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lang w:val="en-US" w:eastAsia="zh-CN"/>
              </w:rPr>
            </w:pPr>
            <w:r>
              <w:rPr>
                <w:rFonts w:ascii="宋体" w:hAnsi="宋体" w:cs="宋体"/>
                <w:color w:val="000000"/>
                <w:sz w:val="24"/>
                <w:lang w:val="en-US" w:eastAsia="zh-CN"/>
              </w:rPr>
              <w:t>0</w:t>
            </w:r>
          </w:p>
        </w:tc>
      </w:tr>
      <w:tr>
        <w:tblPrEx>
          <w:tblCellMar>
            <w:top w:w="15" w:type="dxa"/>
            <w:left w:w="15" w:type="dxa"/>
            <w:bottom w:w="0" w:type="dxa"/>
            <w:right w:w="15" w:type="dxa"/>
          </w:tblCellMar>
        </w:tblPrEx>
        <w:trPr>
          <w:trHeight w:val="877"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预期目标</w:t>
            </w:r>
          </w:p>
        </w:tc>
        <w:tc>
          <w:tcPr>
            <w:tcW w:w="47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实际完成目标</w:t>
            </w:r>
          </w:p>
        </w:tc>
      </w:tr>
      <w:tr>
        <w:tblPrEx>
          <w:tblCellMar>
            <w:top w:w="15" w:type="dxa"/>
            <w:left w:w="15" w:type="dxa"/>
            <w:bottom w:w="0" w:type="dxa"/>
            <w:right w:w="15" w:type="dxa"/>
          </w:tblCellMar>
        </w:tblPrEx>
        <w:trPr>
          <w:trHeight w:val="1159"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保证办公正常运行</w:t>
            </w:r>
          </w:p>
        </w:tc>
        <w:tc>
          <w:tcPr>
            <w:tcW w:w="47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完成办公正常运行</w:t>
            </w:r>
          </w:p>
        </w:tc>
      </w:tr>
      <w:tr>
        <w:tblPrEx>
          <w:tblCellMar>
            <w:top w:w="15" w:type="dxa"/>
            <w:left w:w="15" w:type="dxa"/>
            <w:bottom w:w="0" w:type="dxa"/>
            <w:right w:w="15" w:type="dxa"/>
          </w:tblCellMar>
        </w:tblPrEx>
        <w:trPr>
          <w:trHeight w:val="1042"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预期指标值(包含数字及文字描述)</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实际完成指标值(包含数字及文字描述)</w:t>
            </w:r>
          </w:p>
        </w:tc>
      </w:tr>
      <w:tr>
        <w:tblPrEx>
          <w:tblCellMar>
            <w:top w:w="15" w:type="dxa"/>
            <w:left w:w="15" w:type="dxa"/>
            <w:bottom w:w="0" w:type="dxa"/>
            <w:right w:w="15" w:type="dxa"/>
          </w:tblCellMar>
        </w:tblPrEx>
        <w:trPr>
          <w:trHeight w:val="1168"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项目完成</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完成全区城乡环境综合治理的统筹协调督查</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全区各乡镇、街道</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全区各乡镇、街道</w:t>
            </w:r>
          </w:p>
        </w:tc>
      </w:tr>
      <w:tr>
        <w:tblPrEx>
          <w:tblCellMar>
            <w:top w:w="15" w:type="dxa"/>
            <w:left w:w="15" w:type="dxa"/>
            <w:bottom w:w="0" w:type="dxa"/>
            <w:right w:w="15" w:type="dxa"/>
          </w:tblCellMar>
        </w:tblPrEx>
        <w:trPr>
          <w:trHeight w:val="954"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项目完成</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环境卫生容貌秩序</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城乡环境干净、整洁、有序</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城乡环境干净、整洁、有序</w:t>
            </w:r>
          </w:p>
        </w:tc>
      </w:tr>
      <w:tr>
        <w:tblPrEx>
          <w:tblCellMar>
            <w:top w:w="15" w:type="dxa"/>
            <w:left w:w="15" w:type="dxa"/>
            <w:bottom w:w="0" w:type="dxa"/>
            <w:right w:w="15" w:type="dxa"/>
          </w:tblCellMar>
        </w:tblPrEx>
        <w:trPr>
          <w:trHeight w:val="745"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项目完成</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全年</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2020年</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2020年</w:t>
            </w:r>
          </w:p>
        </w:tc>
      </w:tr>
      <w:tr>
        <w:tblPrEx>
          <w:tblCellMar>
            <w:top w:w="15" w:type="dxa"/>
            <w:left w:w="15" w:type="dxa"/>
            <w:bottom w:w="0" w:type="dxa"/>
            <w:right w:w="15" w:type="dxa"/>
          </w:tblCellMar>
        </w:tblPrEx>
        <w:trPr>
          <w:trHeight w:val="829"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项目完成</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办公室租用费</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eastAsia="zh-CN"/>
              </w:rPr>
              <w:t>办公室租用费用</w:t>
            </w:r>
            <w:r>
              <w:rPr>
                <w:rFonts w:ascii="宋体" w:hAnsi="宋体" w:cs="宋体"/>
                <w:color w:val="000000"/>
                <w:sz w:val="24"/>
                <w:lang w:val="en-US" w:eastAsia="zh-CN"/>
              </w:rPr>
              <w:t>12.5万元</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办公室租用费用</w:t>
            </w:r>
            <w:r>
              <w:rPr>
                <w:rFonts w:ascii="宋体" w:hAnsi="宋体" w:cs="宋体"/>
                <w:color w:val="000000"/>
                <w:sz w:val="24"/>
                <w:lang w:val="en-US" w:eastAsia="zh-CN"/>
              </w:rPr>
              <w:t>12.5万元</w:t>
            </w:r>
          </w:p>
        </w:tc>
      </w:tr>
      <w:tr>
        <w:tblPrEx>
          <w:tblCellMar>
            <w:top w:w="15" w:type="dxa"/>
            <w:left w:w="15" w:type="dxa"/>
            <w:bottom w:w="0" w:type="dxa"/>
            <w:right w:w="15" w:type="dxa"/>
          </w:tblCellMar>
        </w:tblPrEx>
        <w:trPr>
          <w:trHeight w:val="843"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环境卫生</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环境卫生</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城乡环境干净、整洁、有序</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城乡环境干净、整洁、有序</w:t>
            </w:r>
          </w:p>
        </w:tc>
      </w:tr>
      <w:tr>
        <w:tblPrEx>
          <w:tblCellMar>
            <w:top w:w="15" w:type="dxa"/>
            <w:left w:w="15" w:type="dxa"/>
            <w:bottom w:w="0" w:type="dxa"/>
            <w:right w:w="15" w:type="dxa"/>
          </w:tblCellMar>
        </w:tblPrEx>
        <w:trPr>
          <w:trHeight w:val="834"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环境卫生</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城乡居民</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eastAsia="zh-CN"/>
              </w:rPr>
              <w:t>大于等于</w:t>
            </w:r>
            <w:r>
              <w:rPr>
                <w:rFonts w:ascii="宋体" w:hAnsi="宋体" w:cs="宋体"/>
                <w:color w:val="000000"/>
                <w:sz w:val="24"/>
                <w:lang w:val="en-US" w:eastAsia="zh-CN"/>
              </w:rPr>
              <w:t>90%</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大于等于</w:t>
            </w:r>
            <w:r>
              <w:rPr>
                <w:rFonts w:ascii="宋体" w:hAnsi="宋体" w:cs="宋体"/>
                <w:color w:val="000000"/>
                <w:sz w:val="24"/>
                <w:lang w:val="en-US" w:eastAsia="zh-CN"/>
              </w:rPr>
              <w:t>90%</w:t>
            </w:r>
          </w:p>
        </w:tc>
      </w:tr>
    </w:tbl>
    <w:p>
      <w:pPr>
        <w:spacing w:line="580" w:lineRule="exact"/>
        <w:ind w:left="630" w:leftChars="0"/>
        <w:rPr>
          <w:rFonts w:ascii="仿宋_GB2312;仿宋" w:hAnsi="仿宋_GB2312;仿宋" w:eastAsia="仿宋_GB2312;仿宋" w:cs="仿宋_GB2312;仿宋"/>
          <w:sz w:val="32"/>
          <w:szCs w:val="32"/>
        </w:rPr>
      </w:pPr>
    </w:p>
    <w:tbl>
      <w:tblPr>
        <w:tblStyle w:val="9"/>
        <w:tblW w:w="9970" w:type="dxa"/>
        <w:jc w:val="center"/>
        <w:tblLayout w:type="fixed"/>
        <w:tblCellMar>
          <w:top w:w="15" w:type="dxa"/>
          <w:left w:w="15" w:type="dxa"/>
          <w:bottom w:w="0" w:type="dxa"/>
          <w:right w:w="15" w:type="dxa"/>
        </w:tblCellMar>
      </w:tblPr>
      <w:tblGrid>
        <w:gridCol w:w="390"/>
        <w:gridCol w:w="1367"/>
        <w:gridCol w:w="1025"/>
        <w:gridCol w:w="2392"/>
        <w:gridCol w:w="2394"/>
        <w:gridCol w:w="2392"/>
      </w:tblGrid>
      <w:tr>
        <w:tblPrEx>
          <w:tblCellMar>
            <w:top w:w="15" w:type="dxa"/>
            <w:left w:w="15" w:type="dxa"/>
            <w:bottom w:w="0" w:type="dxa"/>
            <w:right w:w="15" w:type="dxa"/>
          </w:tblCellMar>
        </w:tblPrEx>
        <w:trPr>
          <w:trHeight w:val="1034" w:hRule="atLeast"/>
          <w:jc w:val="center"/>
        </w:trPr>
        <w:tc>
          <w:tcPr>
            <w:tcW w:w="9960" w:type="dxa"/>
            <w:gridSpan w:val="6"/>
            <w:vAlign w:val="center"/>
          </w:tcPr>
          <w:p>
            <w:pPr>
              <w:pStyle w:val="17"/>
              <w:widowControl/>
              <w:jc w:val="center"/>
              <w:textAlignment w:val="center"/>
              <w:rPr>
                <w:rFonts w:ascii="宋体" w:hAnsi="宋体" w:cs="宋体"/>
                <w:color w:val="000000"/>
                <w:sz w:val="36"/>
                <w:szCs w:val="36"/>
              </w:rPr>
            </w:pPr>
            <w:r>
              <w:rPr>
                <w:rFonts w:ascii="黑体" w:hAnsi="黑体" w:eastAsia="黑体" w:cs="宋体"/>
                <w:bCs/>
                <w:color w:val="000000"/>
                <w:kern w:val="0"/>
                <w:sz w:val="36"/>
                <w:szCs w:val="36"/>
                <w:lang w:bidi="ar"/>
              </w:rPr>
              <w:t>项目支出绩效目标完成情况表</w:t>
            </w:r>
            <w:r>
              <w:rPr>
                <w:rFonts w:ascii="宋体" w:hAnsi="宋体" w:cs="宋体"/>
                <w:b/>
                <w:bCs/>
                <w:color w:val="000000"/>
                <w:kern w:val="0"/>
                <w:sz w:val="36"/>
                <w:szCs w:val="36"/>
                <w:lang w:bidi="ar"/>
              </w:rPr>
              <w:br w:type="textWrapping"/>
            </w:r>
            <w:r>
              <w:rPr>
                <w:rFonts w:ascii="宋体" w:hAnsi="宋体" w:cs="宋体"/>
                <w:color w:val="000000"/>
                <w:kern w:val="0"/>
                <w:sz w:val="36"/>
                <w:szCs w:val="36"/>
                <w:lang w:bidi="ar"/>
              </w:rPr>
              <w:t>(</w:t>
            </w:r>
            <w:r>
              <w:rPr>
                <w:rFonts w:ascii="宋体" w:hAnsi="宋体" w:cs="宋体"/>
                <w:color w:val="000000"/>
                <w:kern w:val="0"/>
                <w:sz w:val="36"/>
                <w:szCs w:val="36"/>
                <w:lang w:eastAsia="zh-CN" w:bidi="ar"/>
              </w:rPr>
              <w:t>20</w:t>
            </w:r>
            <w:r>
              <w:rPr>
                <w:rFonts w:ascii="宋体" w:hAnsi="宋体" w:cs="宋体"/>
                <w:color w:val="000000"/>
                <w:kern w:val="0"/>
                <w:sz w:val="36"/>
                <w:szCs w:val="36"/>
                <w:lang w:val="en-US" w:eastAsia="zh-CN" w:bidi="ar"/>
              </w:rPr>
              <w:t>20</w:t>
            </w:r>
            <w:r>
              <w:rPr>
                <w:rFonts w:ascii="宋体" w:hAnsi="宋体" w:cs="宋体"/>
                <w:color w:val="000000"/>
                <w:kern w:val="0"/>
                <w:sz w:val="36"/>
                <w:szCs w:val="36"/>
                <w:lang w:bidi="ar"/>
              </w:rPr>
              <w:t>年度)</w:t>
            </w:r>
          </w:p>
        </w:tc>
      </w:tr>
      <w:tr>
        <w:tblPrEx>
          <w:tblCellMar>
            <w:top w:w="15" w:type="dxa"/>
            <w:left w:w="15" w:type="dxa"/>
            <w:bottom w:w="0" w:type="dxa"/>
            <w:right w:w="15"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项目名称</w:t>
            </w:r>
          </w:p>
        </w:tc>
        <w:tc>
          <w:tcPr>
            <w:tcW w:w="71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党建工作经费</w:t>
            </w:r>
            <w:r>
              <w:rPr>
                <w:rFonts w:ascii="宋体" w:hAnsi="宋体" w:cs="宋体"/>
                <w:color w:val="000000"/>
                <w:sz w:val="24"/>
                <w:lang w:eastAsia="zh-CN"/>
              </w:rPr>
              <w:t>（万元）</w:t>
            </w:r>
          </w:p>
        </w:tc>
      </w:tr>
      <w:tr>
        <w:tblPrEx>
          <w:tblCellMar>
            <w:top w:w="15" w:type="dxa"/>
            <w:left w:w="15" w:type="dxa"/>
            <w:bottom w:w="0" w:type="dxa"/>
            <w:right w:w="15"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预算单位</w:t>
            </w:r>
          </w:p>
        </w:tc>
        <w:tc>
          <w:tcPr>
            <w:tcW w:w="718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达川区城乡环境综合治理办公室</w:t>
            </w:r>
          </w:p>
        </w:tc>
      </w:tr>
      <w:tr>
        <w:tblPrEx>
          <w:tblCellMar>
            <w:top w:w="15" w:type="dxa"/>
            <w:left w:w="15" w:type="dxa"/>
            <w:bottom w:w="0" w:type="dxa"/>
            <w:right w:w="15"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执行数:</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5</w:t>
            </w:r>
          </w:p>
        </w:tc>
      </w:tr>
      <w:tr>
        <w:tblPrEx>
          <w:tblCellMar>
            <w:top w:w="15" w:type="dxa"/>
            <w:left w:w="15" w:type="dxa"/>
            <w:bottom w:w="0" w:type="dxa"/>
            <w:right w:w="15"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eastAsia="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其中-财政拨款:</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5</w:t>
            </w:r>
          </w:p>
        </w:tc>
      </w:tr>
      <w:tr>
        <w:tblPrEx>
          <w:tblCellMar>
            <w:top w:w="15" w:type="dxa"/>
            <w:left w:w="15" w:type="dxa"/>
            <w:bottom w:w="0" w:type="dxa"/>
            <w:right w:w="15"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eastAsia="宋体" w:cs="宋体"/>
                <w:color w:val="000000"/>
                <w:sz w:val="24"/>
                <w:lang w:val="en-US" w:eastAsia="zh-CN"/>
              </w:rPr>
            </w:pPr>
          </w:p>
        </w:tc>
        <w:tc>
          <w:tcPr>
            <w:tcW w:w="23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0</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其它资金:</w:t>
            </w:r>
          </w:p>
        </w:tc>
        <w:tc>
          <w:tcPr>
            <w:tcW w:w="240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4"/>
                <w:lang w:val="en-US" w:eastAsia="zh-CN"/>
              </w:rPr>
            </w:pPr>
            <w:r>
              <w:rPr>
                <w:rFonts w:ascii="宋体" w:hAnsi="宋体" w:cs="宋体"/>
                <w:color w:val="000000"/>
                <w:sz w:val="24"/>
                <w:lang w:val="en-US" w:eastAsia="zh-CN"/>
              </w:rPr>
              <w:t>0</w:t>
            </w:r>
          </w:p>
        </w:tc>
      </w:tr>
      <w:tr>
        <w:tblPrEx>
          <w:tblCellMar>
            <w:top w:w="15" w:type="dxa"/>
            <w:left w:w="15" w:type="dxa"/>
            <w:bottom w:w="0" w:type="dxa"/>
            <w:right w:w="15"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预期目标</w:t>
            </w:r>
          </w:p>
        </w:tc>
        <w:tc>
          <w:tcPr>
            <w:tcW w:w="47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实际完成目标</w:t>
            </w:r>
          </w:p>
        </w:tc>
      </w:tr>
      <w:tr>
        <w:tblPrEx>
          <w:tblCellMar>
            <w:top w:w="15" w:type="dxa"/>
            <w:left w:w="15" w:type="dxa"/>
            <w:bottom w:w="0" w:type="dxa"/>
            <w:right w:w="15"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仿宋_GB2312;仿宋" w:hAnsi="仿宋_GB2312;仿宋" w:eastAsia="仿宋_GB2312;仿宋" w:cs="仿宋_GB2312;仿宋"/>
                <w:sz w:val="32"/>
                <w:szCs w:val="32"/>
              </w:rPr>
              <w:t>保障</w:t>
            </w:r>
            <w:r>
              <w:rPr>
                <w:rFonts w:ascii="仿宋_GB2312;仿宋" w:hAnsi="仿宋_GB2312;仿宋" w:eastAsia="仿宋_GB2312;仿宋" w:cs="仿宋_GB2312;仿宋"/>
                <w:sz w:val="32"/>
                <w:szCs w:val="32"/>
                <w:lang w:eastAsia="zh-CN"/>
              </w:rPr>
              <w:t>我中心党建工作的完成</w:t>
            </w:r>
          </w:p>
        </w:tc>
        <w:tc>
          <w:tcPr>
            <w:tcW w:w="479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仿宋_GB2312;仿宋" w:hAnsi="仿宋_GB2312;仿宋" w:eastAsia="仿宋_GB2312;仿宋" w:cs="仿宋_GB2312;仿宋"/>
                <w:sz w:val="32"/>
                <w:szCs w:val="32"/>
                <w:lang w:eastAsia="zh-CN"/>
              </w:rPr>
              <w:t>全面完成我中心党建工作</w:t>
            </w:r>
          </w:p>
        </w:tc>
      </w:tr>
      <w:tr>
        <w:tblPrEx>
          <w:tblCellMar>
            <w:top w:w="15" w:type="dxa"/>
            <w:left w:w="15" w:type="dxa"/>
            <w:bottom w:w="0" w:type="dxa"/>
            <w:right w:w="15" w:type="dxa"/>
          </w:tblCellMar>
        </w:tblPrEx>
        <w:trPr>
          <w:trHeight w:val="1042"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预期指标值(包含数字及文字描述)</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实际完成指标值(包含数字及文字描述)</w:t>
            </w:r>
          </w:p>
        </w:tc>
      </w:tr>
      <w:tr>
        <w:tblPrEx>
          <w:tblCellMar>
            <w:top w:w="15" w:type="dxa"/>
            <w:left w:w="15" w:type="dxa"/>
            <w:bottom w:w="0" w:type="dxa"/>
            <w:right w:w="15" w:type="dxa"/>
          </w:tblCellMar>
        </w:tblPrEx>
        <w:trPr>
          <w:trHeight w:val="95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党建工作</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全面开展党建工作</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完成100%</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完成100%</w:t>
            </w:r>
          </w:p>
        </w:tc>
      </w:tr>
      <w:tr>
        <w:tblPrEx>
          <w:tblCellMar>
            <w:top w:w="15" w:type="dxa"/>
            <w:left w:w="15" w:type="dxa"/>
            <w:bottom w:w="0" w:type="dxa"/>
            <w:right w:w="15" w:type="dxa"/>
          </w:tblCellMar>
        </w:tblPrEx>
        <w:trPr>
          <w:trHeight w:val="95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党建工作</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按相关要求完成党建工作</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eastAsia="zh-CN"/>
              </w:rPr>
              <w:t>完成</w:t>
            </w:r>
            <w:r>
              <w:rPr>
                <w:rFonts w:ascii="宋体" w:hAnsi="宋体" w:cs="宋体"/>
                <w:color w:val="000000"/>
                <w:sz w:val="24"/>
                <w:lang w:val="en-US" w:eastAsia="zh-CN"/>
              </w:rPr>
              <w:t>100%</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完成</w:t>
            </w:r>
            <w:r>
              <w:rPr>
                <w:rFonts w:ascii="宋体" w:hAnsi="宋体" w:cs="宋体"/>
                <w:color w:val="000000"/>
                <w:sz w:val="24"/>
                <w:lang w:val="en-US" w:eastAsia="zh-CN"/>
              </w:rPr>
              <w:t>100%</w:t>
            </w:r>
          </w:p>
        </w:tc>
      </w:tr>
      <w:tr>
        <w:tblPrEx>
          <w:tblCellMar>
            <w:top w:w="15" w:type="dxa"/>
            <w:left w:w="15" w:type="dxa"/>
            <w:bottom w:w="0" w:type="dxa"/>
            <w:right w:w="15" w:type="dxa"/>
          </w:tblCellMar>
        </w:tblPrEx>
        <w:trPr>
          <w:trHeight w:val="745"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党建工作</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全年</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2020年</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2020年</w:t>
            </w:r>
          </w:p>
        </w:tc>
      </w:tr>
      <w:tr>
        <w:tblPrEx>
          <w:tblCellMar>
            <w:top w:w="15" w:type="dxa"/>
            <w:left w:w="15" w:type="dxa"/>
            <w:bottom w:w="0" w:type="dxa"/>
            <w:right w:w="15" w:type="dxa"/>
          </w:tblCellMar>
        </w:tblPrEx>
        <w:trPr>
          <w:trHeight w:val="82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eastAsia="宋体" w:cs="宋体"/>
                <w:color w:val="000000"/>
                <w:sz w:val="24"/>
                <w:lang w:val="en-US" w:eastAsia="zh-CN"/>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4"/>
                <w:lang w:bidi="ar"/>
              </w:rPr>
            </w:pPr>
            <w:r>
              <w:rPr>
                <w:rFonts w:ascii="宋体" w:hAnsi="宋体" w:cs="宋体"/>
                <w:color w:val="000000"/>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党建工作</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党建经费</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党建工作方面宣传、培训、脱贫攻坚5万元</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val="en-US" w:eastAsia="zh-CN"/>
              </w:rPr>
              <w:t>党建工作方面宣传、培训经费5万元</w:t>
            </w:r>
          </w:p>
        </w:tc>
      </w:tr>
      <w:tr>
        <w:tblPrEx>
          <w:tblCellMar>
            <w:top w:w="15" w:type="dxa"/>
            <w:left w:w="15" w:type="dxa"/>
            <w:bottom w:w="0" w:type="dxa"/>
            <w:right w:w="15" w:type="dxa"/>
          </w:tblCellMar>
        </w:tblPrEx>
        <w:trPr>
          <w:trHeight w:val="843"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党建工作</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党建工作</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完成党建以及脱贫攻坚工作</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sz w:val="24"/>
                <w:lang w:eastAsia="zh-CN"/>
              </w:rPr>
              <w:t>完成党建以及脱贫攻坚工作</w:t>
            </w:r>
          </w:p>
        </w:tc>
      </w:tr>
      <w:tr>
        <w:tblPrEx>
          <w:tblCellMar>
            <w:top w:w="15" w:type="dxa"/>
            <w:left w:w="15" w:type="dxa"/>
            <w:bottom w:w="0" w:type="dxa"/>
            <w:right w:w="15" w:type="dxa"/>
          </w:tblCellMar>
        </w:tblPrEx>
        <w:trPr>
          <w:trHeight w:val="834"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rPr>
            </w:pPr>
            <w:r>
              <w:rPr>
                <w:rFonts w:ascii="宋体" w:hAnsi="宋体" w:cs="宋体"/>
                <w:color w:val="000000"/>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eastAsia="zh-CN"/>
              </w:rPr>
            </w:pPr>
            <w:r>
              <w:rPr>
                <w:rFonts w:ascii="宋体" w:hAnsi="宋体" w:cs="宋体"/>
                <w:color w:val="000000"/>
                <w:sz w:val="24"/>
                <w:lang w:eastAsia="zh-CN"/>
              </w:rPr>
              <w:t>党建工作</w:t>
            </w:r>
          </w:p>
        </w:tc>
        <w:tc>
          <w:tcPr>
            <w:tcW w:w="2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eastAsia="zh-CN"/>
              </w:rPr>
              <w:t>服务对象户</w:t>
            </w:r>
          </w:p>
        </w:tc>
        <w:tc>
          <w:tcPr>
            <w:tcW w:w="23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4"/>
                <w:lang w:val="en-US" w:eastAsia="zh-CN"/>
              </w:rPr>
            </w:pPr>
            <w:r>
              <w:rPr>
                <w:rFonts w:ascii="宋体" w:hAnsi="宋体" w:cs="宋体"/>
                <w:color w:val="000000"/>
                <w:sz w:val="24"/>
                <w:lang w:val="en-US" w:eastAsia="zh-CN"/>
              </w:rPr>
              <w:t>100%</w:t>
            </w:r>
          </w:p>
        </w:tc>
        <w:tc>
          <w:tcPr>
            <w:tcW w:w="2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24"/>
                <w:lang w:val="en-US"/>
              </w:rPr>
            </w:pPr>
            <w:r>
              <w:rPr>
                <w:rFonts w:ascii="宋体" w:hAnsi="宋体" w:cs="宋体"/>
                <w:color w:val="000000"/>
                <w:sz w:val="24"/>
                <w:lang w:val="en-US" w:eastAsia="zh-CN"/>
              </w:rPr>
              <w:t>100%</w:t>
            </w:r>
          </w:p>
        </w:tc>
      </w:tr>
    </w:tbl>
    <w:p>
      <w:pPr>
        <w:spacing w:line="580" w:lineRule="exact"/>
        <w:ind w:left="630" w:leftChars="0"/>
        <w:rPr>
          <w:rFonts w:ascii="仿宋_GB2312;仿宋" w:hAnsi="仿宋_GB2312;仿宋" w:eastAsia="仿宋_GB2312;仿宋" w:cs="仿宋_GB2312;仿宋"/>
          <w:sz w:val="32"/>
          <w:szCs w:val="32"/>
        </w:rPr>
      </w:pPr>
    </w:p>
    <w:p>
      <w:pPr>
        <w:spacing w:line="580" w:lineRule="exact"/>
        <w:ind w:left="630" w:leftChars="0"/>
        <w:rPr>
          <w:rFonts w:ascii="仿宋_GB2312;仿宋" w:hAnsi="仿宋_GB2312;仿宋" w:eastAsia="仿宋_GB2312;仿宋" w:cs="仿宋_GB2312;仿宋"/>
          <w:sz w:val="32"/>
          <w:szCs w:val="32"/>
        </w:rPr>
      </w:pPr>
      <w:r>
        <w:rPr>
          <w:rFonts w:ascii="楷体_GB2312;楷体" w:hAnsi="楷体_GB2312;楷体" w:eastAsia="楷体_GB2312;楷体" w:cs="楷体_GB2312;楷体"/>
          <w:sz w:val="32"/>
          <w:szCs w:val="32"/>
        </w:rPr>
        <w:t>2.部门绩效评价结果。</w:t>
      </w:r>
    </w:p>
    <w:p>
      <w:pPr>
        <w:spacing w:line="580" w:lineRule="exact"/>
        <w:rPr>
          <w:rFonts w:ascii="仿宋_GB2312;仿宋" w:hAnsi="仿宋_GB2312;仿宋" w:eastAsia="仿宋_GB2312;仿宋"/>
          <w:b/>
          <w:color w:val="000000"/>
          <w:sz w:val="32"/>
          <w:szCs w:val="32"/>
        </w:rPr>
      </w:pPr>
      <w:r>
        <w:rPr>
          <w:rFonts w:ascii="仿宋_GB2312;仿宋" w:hAnsi="仿宋_GB2312;仿宋" w:eastAsia="仿宋_GB2312;仿宋" w:cs="仿宋_GB2312;仿宋"/>
          <w:sz w:val="32"/>
          <w:szCs w:val="32"/>
        </w:rPr>
        <w:t>本部门按要求对2020年部门整体支出绩效评价情况开展自评，《</w:t>
      </w:r>
      <w:r>
        <w:rPr>
          <w:rFonts w:ascii="仿宋_GB2312;仿宋" w:hAnsi="仿宋_GB2312;仿宋" w:eastAsia="仿宋_GB2312;仿宋" w:cs="仿宋_GB2312;仿宋"/>
          <w:sz w:val="32"/>
          <w:szCs w:val="32"/>
          <w:lang w:eastAsia="zh-CN"/>
        </w:rPr>
        <w:t>达州市达川区城乡环境综合治理中心</w:t>
      </w:r>
      <w:r>
        <w:rPr>
          <w:rFonts w:ascii="仿宋_GB2312;仿宋" w:hAnsi="仿宋_GB2312;仿宋" w:eastAsia="仿宋_GB2312;仿宋" w:cs="仿宋_GB2312;仿宋"/>
          <w:sz w:val="32"/>
          <w:szCs w:val="32"/>
        </w:rPr>
        <w:t>2020年部门整体支出绩效评价报告》</w:t>
      </w:r>
      <w:r>
        <w:rPr>
          <w:rFonts w:ascii="仿宋_GB2312;仿宋" w:hAnsi="仿宋_GB2312;仿宋" w:eastAsia="仿宋_GB2312;仿宋" w:cs="仿宋_GB2312;仿宋"/>
          <w:sz w:val="32"/>
          <w:szCs w:val="32"/>
          <w:lang w:eastAsia="zh-CN"/>
        </w:rPr>
        <w:t>（</w:t>
      </w:r>
      <w:r>
        <w:rPr>
          <w:rFonts w:ascii="仿宋_GB2312;仿宋" w:hAnsi="仿宋_GB2312;仿宋" w:eastAsia="仿宋_GB2312;仿宋" w:cs="仿宋_GB2312;仿宋"/>
          <w:sz w:val="32"/>
          <w:szCs w:val="32"/>
        </w:rPr>
        <w:t>见附件1）。</w:t>
      </w:r>
      <w:r>
        <w:br w:type="page"/>
      </w:r>
    </w:p>
    <w:p>
      <w:pPr>
        <w:spacing w:line="580" w:lineRule="exact"/>
        <w:rPr>
          <w:rFonts w:ascii="仿宋_GB2312;仿宋" w:hAnsi="仿宋_GB2312;仿宋" w:eastAsia="仿宋_GB2312;仿宋"/>
          <w:b/>
          <w:color w:val="000000"/>
          <w:sz w:val="32"/>
          <w:szCs w:val="32"/>
        </w:rPr>
      </w:pPr>
    </w:p>
    <w:p>
      <w:pPr>
        <w:numPr>
          <w:ilvl w:val="0"/>
          <w:numId w:val="5"/>
        </w:numPr>
        <w:spacing w:line="600" w:lineRule="exact"/>
        <w:jc w:val="center"/>
        <w:outlineLvl w:val="0"/>
        <w:rPr>
          <w:rStyle w:val="12"/>
          <w:rFonts w:ascii="黑体" w:hAnsi="黑体" w:eastAsia="黑体" w:cs="黑体"/>
          <w:b w:val="0"/>
        </w:rPr>
      </w:pPr>
      <w:r>
        <w:rPr>
          <w:rFonts w:ascii="黑体" w:hAnsi="黑体" w:eastAsia="黑体" w:cs="黑体"/>
          <w:color w:val="000000"/>
          <w:sz w:val="44"/>
          <w:szCs w:val="44"/>
        </w:rPr>
        <w:t>名</w:t>
      </w:r>
      <w:r>
        <w:rPr>
          <w:rStyle w:val="12"/>
          <w:rFonts w:ascii="黑体" w:hAnsi="黑体" w:eastAsia="黑体" w:cs="黑体"/>
          <w:b w:val="0"/>
        </w:rPr>
        <w:t>词解释</w:t>
      </w:r>
    </w:p>
    <w:p>
      <w:pPr>
        <w:spacing w:line="600" w:lineRule="exact"/>
        <w:jc w:val="left"/>
        <w:rPr>
          <w:rStyle w:val="12"/>
          <w:rFonts w:ascii="宋体" w:hAnsi="宋体" w:eastAsia="黑体" w:cs="黑体"/>
          <w:b/>
          <w:color w:val="000000"/>
          <w:sz w:val="44"/>
          <w:szCs w:val="44"/>
        </w:rPr>
      </w:pPr>
    </w:p>
    <w:p>
      <w:pPr>
        <w:pStyle w:val="18"/>
        <w:spacing w:line="560" w:lineRule="exact"/>
        <w:rPr>
          <w:rFonts w:ascii="仿宋_GB2312;仿宋" w:hAnsi="仿宋_GB2312;仿宋" w:eastAsia="仿宋_GB2312;仿宋"/>
          <w:sz w:val="32"/>
          <w:szCs w:val="32"/>
        </w:rPr>
      </w:pPr>
      <w:r>
        <w:rPr>
          <w:rFonts w:ascii="仿宋_GB2312;仿宋" w:hAnsi="仿宋_GB2312;仿宋" w:eastAsia="仿宋_GB2312;仿宋"/>
          <w:sz w:val="32"/>
          <w:szCs w:val="32"/>
        </w:rPr>
        <w:t>1.财政拨款收入：指单位从同级财政部门取得的财政预算资金。</w:t>
      </w:r>
    </w:p>
    <w:p>
      <w:pPr>
        <w:pStyle w:val="18"/>
        <w:spacing w:line="560" w:lineRule="exact"/>
        <w:rPr>
          <w:rFonts w:ascii="仿宋_GB2312;仿宋" w:hAnsi="仿宋_GB2312;仿宋" w:eastAsia="仿宋_GB2312;仿宋"/>
          <w:sz w:val="32"/>
          <w:szCs w:val="32"/>
        </w:rPr>
      </w:pPr>
      <w:r>
        <w:rPr>
          <w:rFonts w:ascii="仿宋_GB2312;仿宋" w:hAnsi="仿宋_GB2312;仿宋" w:eastAsia="仿宋_GB2312;仿宋"/>
          <w:sz w:val="32"/>
          <w:szCs w:val="32"/>
        </w:rPr>
        <w:t>2.事业收入：指事业单位开展专业业务活动及辅助活动取得的收入。如…（二级预算单位事业收入情况）等。</w:t>
      </w:r>
    </w:p>
    <w:p>
      <w:pPr>
        <w:pStyle w:val="18"/>
        <w:spacing w:line="560" w:lineRule="exact"/>
        <w:rPr>
          <w:rFonts w:ascii="仿宋_GB2312;仿宋" w:hAnsi="仿宋_GB2312;仿宋" w:eastAsia="仿宋_GB2312;仿宋"/>
          <w:sz w:val="32"/>
          <w:szCs w:val="32"/>
        </w:rPr>
      </w:pPr>
      <w:r>
        <w:rPr>
          <w:rFonts w:ascii="仿宋_GB2312;仿宋" w:hAnsi="仿宋_GB2312;仿宋" w:eastAsia="仿宋_GB2312;仿宋"/>
          <w:sz w:val="32"/>
          <w:szCs w:val="32"/>
        </w:rPr>
        <w:t>3.经营收入：指事业单位在专业业务活动及其辅助活动之外开展非独立核算经营活动取得的收入。如…（二级预算单位经营收入情况）等。</w:t>
      </w:r>
    </w:p>
    <w:p>
      <w:pPr>
        <w:pStyle w:val="18"/>
        <w:spacing w:line="560" w:lineRule="exact"/>
        <w:rPr>
          <w:rFonts w:ascii="仿宋_GB2312;仿宋" w:hAnsi="仿宋_GB2312;仿宋" w:eastAsia="仿宋_GB2312;仿宋"/>
          <w:sz w:val="32"/>
          <w:szCs w:val="32"/>
        </w:rPr>
      </w:pPr>
      <w:r>
        <w:rPr>
          <w:rFonts w:ascii="仿宋_GB2312;仿宋" w:hAnsi="仿宋_GB2312;仿宋" w:eastAsia="仿宋_GB2312;仿宋"/>
          <w:sz w:val="32"/>
          <w:szCs w:val="32"/>
        </w:rPr>
        <w:t xml:space="preserve">4.其他收入：指单位取得的除上述收入以外的各项收入。主要是…（收入类型）等。 </w:t>
      </w:r>
    </w:p>
    <w:p>
      <w:pPr>
        <w:pStyle w:val="18"/>
        <w:spacing w:line="560" w:lineRule="exact"/>
        <w:rPr>
          <w:rFonts w:ascii="仿宋_GB2312;仿宋" w:hAnsi="仿宋_GB2312;仿宋" w:eastAsia="仿宋_GB2312;仿宋"/>
          <w:sz w:val="32"/>
          <w:szCs w:val="32"/>
        </w:rPr>
      </w:pPr>
      <w:r>
        <w:rPr>
          <w:rFonts w:ascii="仿宋_GB2312;仿宋" w:hAnsi="仿宋_GB2312;仿宋" w:eastAsia="仿宋_GB2312;仿宋"/>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8"/>
        <w:spacing w:line="560" w:lineRule="exact"/>
        <w:rPr>
          <w:rFonts w:ascii="仿宋_GB2312;仿宋" w:hAnsi="仿宋_GB2312;仿宋" w:eastAsia="仿宋_GB2312;仿宋"/>
          <w:sz w:val="32"/>
          <w:szCs w:val="32"/>
        </w:rPr>
      </w:pPr>
      <w:r>
        <w:rPr>
          <w:rFonts w:ascii="仿宋_GB2312;仿宋" w:hAnsi="仿宋_GB2312;仿宋" w:eastAsia="仿宋_GB2312;仿宋"/>
          <w:sz w:val="32"/>
          <w:szCs w:val="32"/>
        </w:rPr>
        <w:t xml:space="preserve">6.年初结转和结余：指以前年度尚未完成、结转到本年按有关规定继续使用的资金。 </w:t>
      </w:r>
    </w:p>
    <w:p>
      <w:pPr>
        <w:pStyle w:val="18"/>
        <w:spacing w:line="560" w:lineRule="exact"/>
        <w:rPr>
          <w:rFonts w:ascii="仿宋_GB2312;仿宋" w:hAnsi="仿宋_GB2312;仿宋" w:eastAsia="仿宋_GB2312;仿宋"/>
          <w:sz w:val="32"/>
          <w:szCs w:val="32"/>
        </w:rPr>
      </w:pPr>
      <w:r>
        <w:rPr>
          <w:rFonts w:ascii="仿宋_GB2312;仿宋" w:hAnsi="仿宋_GB2312;仿宋" w:eastAsia="仿宋_GB2312;仿宋"/>
          <w:sz w:val="32"/>
          <w:szCs w:val="32"/>
        </w:rPr>
        <w:t>7.结余分配：指事业单位按照事业单位会计制度的规定从非财政补助结余中分配的事业基金和职工福利基金等。</w:t>
      </w:r>
    </w:p>
    <w:p>
      <w:pPr>
        <w:pStyle w:val="18"/>
        <w:spacing w:line="560" w:lineRule="exact"/>
        <w:rPr>
          <w:rFonts w:ascii="仿宋_GB2312;仿宋" w:hAnsi="仿宋_GB2312;仿宋" w:eastAsia="仿宋_GB2312;仿宋"/>
          <w:sz w:val="32"/>
          <w:szCs w:val="32"/>
        </w:rPr>
      </w:pPr>
      <w:r>
        <w:rPr>
          <w:rFonts w:ascii="仿宋_GB2312;仿宋" w:hAnsi="仿宋_GB2312;仿宋" w:eastAsia="仿宋_GB2312;仿宋"/>
          <w:sz w:val="32"/>
          <w:szCs w:val="32"/>
        </w:rPr>
        <w:t>8、年末结转和结余：指单位按有关规定结转到下年或以后年度继续使用的资金。</w:t>
      </w:r>
    </w:p>
    <w:p>
      <w:pPr>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lang w:val="en-US" w:eastAsia="zh-CN"/>
        </w:rPr>
        <w:t>9</w:t>
      </w:r>
      <w:r>
        <w:rPr>
          <w:rFonts w:ascii="仿宋_GB2312;仿宋" w:hAnsi="仿宋_GB2312;仿宋" w:eastAsia="仿宋_GB2312;仿宋"/>
          <w:color w:val="000000"/>
          <w:sz w:val="32"/>
          <w:szCs w:val="32"/>
        </w:rPr>
        <w:t>.社会保障和就业（类）</w:t>
      </w:r>
      <w:r>
        <w:rPr>
          <w:rFonts w:ascii="仿宋_GB2312;仿宋" w:hAnsi="仿宋_GB2312;仿宋" w:eastAsia="仿宋_GB2312;仿宋"/>
          <w:color w:val="000000"/>
          <w:sz w:val="32"/>
          <w:szCs w:val="32"/>
          <w:lang w:eastAsia="zh-CN"/>
        </w:rPr>
        <w:t>行政事业单位离退休</w:t>
      </w:r>
      <w:r>
        <w:rPr>
          <w:rFonts w:ascii="仿宋_GB2312;仿宋" w:hAnsi="仿宋_GB2312;仿宋" w:eastAsia="仿宋_GB2312;仿宋"/>
          <w:color w:val="000000"/>
          <w:sz w:val="32"/>
          <w:szCs w:val="32"/>
        </w:rPr>
        <w:t>（款）</w:t>
      </w:r>
      <w:r>
        <w:rPr>
          <w:rFonts w:ascii="仿宋_GB2312;仿宋" w:hAnsi="仿宋_GB2312;仿宋" w:eastAsia="仿宋_GB2312;仿宋"/>
          <w:color w:val="000000"/>
          <w:sz w:val="32"/>
          <w:szCs w:val="32"/>
          <w:lang w:eastAsia="zh-CN"/>
        </w:rPr>
        <w:t>机关事业单位基本养老保险缴费支出</w:t>
      </w:r>
      <w:r>
        <w:rPr>
          <w:rFonts w:ascii="仿宋_GB2312;仿宋" w:hAnsi="仿宋_GB2312;仿宋" w:eastAsia="仿宋_GB2312;仿宋"/>
          <w:color w:val="000000"/>
          <w:sz w:val="32"/>
          <w:szCs w:val="32"/>
        </w:rPr>
        <w:t>（项）：指</w:t>
      </w:r>
      <w:r>
        <w:rPr>
          <w:rFonts w:ascii="仿宋_GB2312;仿宋" w:hAnsi="仿宋_GB2312;仿宋" w:eastAsia="仿宋_GB2312;仿宋"/>
          <w:color w:val="000000"/>
          <w:sz w:val="32"/>
          <w:szCs w:val="32"/>
          <w:lang w:eastAsia="zh-CN"/>
        </w:rPr>
        <w:t>机关事业单位实施养老保险制度由单位缴纳的基本养老保险费支出</w:t>
      </w:r>
      <w:r>
        <w:rPr>
          <w:rFonts w:ascii="仿宋_GB2312;仿宋" w:hAnsi="仿宋_GB2312;仿宋" w:eastAsia="仿宋_GB2312;仿宋"/>
          <w:color w:val="000000"/>
          <w:sz w:val="32"/>
          <w:szCs w:val="32"/>
        </w:rPr>
        <w:t>。</w:t>
      </w:r>
    </w:p>
    <w:p>
      <w:pPr>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lang w:val="en-US" w:eastAsia="zh-CN"/>
        </w:rPr>
        <w:t>10</w:t>
      </w:r>
      <w:r>
        <w:rPr>
          <w:rFonts w:ascii="仿宋_GB2312;仿宋" w:hAnsi="仿宋_GB2312;仿宋" w:eastAsia="仿宋_GB2312;仿宋"/>
          <w:color w:val="000000"/>
          <w:sz w:val="32"/>
          <w:szCs w:val="32"/>
        </w:rPr>
        <w:t>.社会保障和就业（类）</w:t>
      </w:r>
      <w:r>
        <w:rPr>
          <w:rFonts w:ascii="仿宋_GB2312;仿宋" w:hAnsi="仿宋_GB2312;仿宋" w:eastAsia="仿宋_GB2312;仿宋"/>
          <w:color w:val="000000"/>
          <w:sz w:val="32"/>
          <w:szCs w:val="32"/>
          <w:lang w:eastAsia="zh-CN"/>
        </w:rPr>
        <w:t>行政事业单位离退休</w:t>
      </w:r>
      <w:r>
        <w:rPr>
          <w:rFonts w:ascii="仿宋_GB2312;仿宋" w:hAnsi="仿宋_GB2312;仿宋" w:eastAsia="仿宋_GB2312;仿宋"/>
          <w:color w:val="000000"/>
          <w:sz w:val="32"/>
          <w:szCs w:val="32"/>
        </w:rPr>
        <w:t>（款）</w:t>
      </w:r>
      <w:r>
        <w:rPr>
          <w:rFonts w:ascii="仿宋_GB2312;仿宋" w:hAnsi="仿宋_GB2312;仿宋" w:eastAsia="仿宋_GB2312;仿宋"/>
          <w:color w:val="000000"/>
          <w:sz w:val="32"/>
          <w:szCs w:val="32"/>
          <w:lang w:eastAsia="zh-CN"/>
        </w:rPr>
        <w:t>机关事业单位职业年金缴费支出</w:t>
      </w:r>
      <w:r>
        <w:rPr>
          <w:rFonts w:ascii="仿宋_GB2312;仿宋" w:hAnsi="仿宋_GB2312;仿宋" w:eastAsia="仿宋_GB2312;仿宋"/>
          <w:color w:val="000000"/>
          <w:sz w:val="32"/>
          <w:szCs w:val="32"/>
        </w:rPr>
        <w:t>（项）：指</w:t>
      </w:r>
      <w:r>
        <w:rPr>
          <w:rFonts w:ascii="仿宋_GB2312;仿宋" w:hAnsi="仿宋_GB2312;仿宋" w:eastAsia="仿宋_GB2312;仿宋"/>
          <w:color w:val="000000"/>
          <w:sz w:val="32"/>
          <w:szCs w:val="32"/>
          <w:lang w:eastAsia="zh-CN"/>
        </w:rPr>
        <w:t>机关事业单位实施养老保险制度由单位实际缴纳的基本年金支出</w:t>
      </w:r>
      <w:r>
        <w:rPr>
          <w:rFonts w:ascii="仿宋_GB2312;仿宋" w:hAnsi="仿宋_GB2312;仿宋" w:eastAsia="仿宋_GB2312;仿宋"/>
          <w:color w:val="000000"/>
          <w:sz w:val="32"/>
          <w:szCs w:val="32"/>
        </w:rPr>
        <w:t>。</w:t>
      </w:r>
    </w:p>
    <w:p>
      <w:pPr>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lang w:val="en-US" w:eastAsia="zh-CN"/>
        </w:rPr>
        <w:t>11</w:t>
      </w:r>
      <w:r>
        <w:rPr>
          <w:rFonts w:ascii="仿宋_GB2312;仿宋" w:hAnsi="仿宋_GB2312;仿宋" w:eastAsia="仿宋_GB2312;仿宋"/>
          <w:color w:val="000000"/>
          <w:sz w:val="32"/>
          <w:szCs w:val="32"/>
        </w:rPr>
        <w:t>.医疗卫生与计划生育（类）</w:t>
      </w:r>
      <w:r>
        <w:rPr>
          <w:rFonts w:ascii="仿宋_GB2312;仿宋" w:hAnsi="仿宋_GB2312;仿宋" w:eastAsia="仿宋_GB2312;仿宋"/>
          <w:color w:val="000000"/>
          <w:sz w:val="32"/>
          <w:szCs w:val="32"/>
          <w:lang w:eastAsia="zh-CN"/>
        </w:rPr>
        <w:t>行政事业单位医疗</w:t>
      </w:r>
      <w:r>
        <w:rPr>
          <w:rFonts w:ascii="仿宋_GB2312;仿宋" w:hAnsi="仿宋_GB2312;仿宋" w:eastAsia="仿宋_GB2312;仿宋"/>
          <w:color w:val="000000"/>
          <w:sz w:val="32"/>
          <w:szCs w:val="32"/>
        </w:rPr>
        <w:t>（款）</w:t>
      </w:r>
      <w:r>
        <w:rPr>
          <w:rFonts w:ascii="仿宋_GB2312;仿宋" w:hAnsi="仿宋_GB2312;仿宋" w:eastAsia="仿宋_GB2312;仿宋"/>
          <w:color w:val="000000"/>
          <w:sz w:val="32"/>
          <w:szCs w:val="32"/>
          <w:lang w:eastAsia="zh-CN"/>
        </w:rPr>
        <w:t>事业单位医疗</w:t>
      </w:r>
      <w:r>
        <w:rPr>
          <w:rFonts w:ascii="仿宋_GB2312;仿宋" w:hAnsi="仿宋_GB2312;仿宋" w:eastAsia="仿宋_GB2312;仿宋"/>
          <w:color w:val="000000"/>
          <w:sz w:val="32"/>
          <w:szCs w:val="32"/>
        </w:rPr>
        <w:t>（项）：指</w:t>
      </w:r>
      <w:r>
        <w:rPr>
          <w:rFonts w:ascii="仿宋_GB2312;仿宋" w:hAnsi="仿宋_GB2312;仿宋" w:eastAsia="仿宋_GB2312;仿宋"/>
          <w:color w:val="000000"/>
          <w:sz w:val="32"/>
          <w:szCs w:val="32"/>
          <w:lang w:eastAsia="zh-CN"/>
        </w:rPr>
        <w:t>财政部门集中安排的事业单位基本医疗保险缴费经费，未参加医疗保险的事业单位公费医疗经费，按国家规定享受离休人员待遇的医疗经费</w:t>
      </w:r>
      <w:r>
        <w:rPr>
          <w:rFonts w:ascii="仿宋_GB2312;仿宋" w:hAnsi="仿宋_GB2312;仿宋" w:eastAsia="仿宋_GB2312;仿宋"/>
          <w:color w:val="000000"/>
          <w:sz w:val="32"/>
          <w:szCs w:val="32"/>
        </w:rPr>
        <w:t>。</w:t>
      </w:r>
    </w:p>
    <w:p>
      <w:pPr>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lang w:val="en-US" w:eastAsia="zh-CN"/>
        </w:rPr>
        <w:t>12</w:t>
      </w:r>
      <w:r>
        <w:rPr>
          <w:rFonts w:ascii="仿宋_GB2312;仿宋" w:hAnsi="仿宋_GB2312;仿宋" w:eastAsia="仿宋_GB2312;仿宋"/>
          <w:color w:val="000000"/>
          <w:sz w:val="32"/>
          <w:szCs w:val="32"/>
        </w:rPr>
        <w:t>.城乡社区（类）</w:t>
      </w:r>
      <w:r>
        <w:rPr>
          <w:rFonts w:ascii="仿宋_GB2312;仿宋" w:hAnsi="仿宋_GB2312;仿宋" w:eastAsia="仿宋_GB2312;仿宋"/>
          <w:color w:val="000000"/>
          <w:sz w:val="32"/>
          <w:szCs w:val="32"/>
          <w:lang w:eastAsia="zh-CN"/>
        </w:rPr>
        <w:t>城乡社区环境卫生</w:t>
      </w:r>
      <w:r>
        <w:rPr>
          <w:rFonts w:ascii="仿宋_GB2312;仿宋" w:hAnsi="仿宋_GB2312;仿宋" w:eastAsia="仿宋_GB2312;仿宋"/>
          <w:color w:val="000000"/>
          <w:sz w:val="32"/>
          <w:szCs w:val="32"/>
        </w:rPr>
        <w:t>（款）</w:t>
      </w:r>
      <w:r>
        <w:rPr>
          <w:rFonts w:ascii="仿宋_GB2312;仿宋" w:hAnsi="仿宋_GB2312;仿宋" w:eastAsia="仿宋_GB2312;仿宋"/>
          <w:color w:val="000000"/>
          <w:sz w:val="32"/>
          <w:szCs w:val="32"/>
          <w:lang w:eastAsia="zh-CN"/>
        </w:rPr>
        <w:t>城乡社区环境卫生</w:t>
      </w:r>
      <w:r>
        <w:rPr>
          <w:rFonts w:ascii="仿宋_GB2312;仿宋" w:hAnsi="仿宋_GB2312;仿宋" w:eastAsia="仿宋_GB2312;仿宋"/>
          <w:color w:val="000000"/>
          <w:sz w:val="32"/>
          <w:szCs w:val="32"/>
        </w:rPr>
        <w:t>（项）：指</w:t>
      </w:r>
      <w:r>
        <w:rPr>
          <w:rFonts w:ascii="仿宋_GB2312;仿宋" w:hAnsi="仿宋_GB2312;仿宋" w:eastAsia="仿宋_GB2312;仿宋"/>
          <w:color w:val="000000"/>
          <w:sz w:val="32"/>
          <w:szCs w:val="32"/>
          <w:lang w:eastAsia="zh-CN"/>
        </w:rPr>
        <w:t>城乡社区道路清扫、垃圾清运与处理、公厕建设与维护、园林绿化等方面的支出</w:t>
      </w:r>
      <w:r>
        <w:rPr>
          <w:rFonts w:ascii="仿宋_GB2312;仿宋" w:hAnsi="仿宋_GB2312;仿宋" w:eastAsia="仿宋_GB2312;仿宋"/>
          <w:color w:val="000000"/>
          <w:sz w:val="32"/>
          <w:szCs w:val="32"/>
        </w:rPr>
        <w:t>。</w:t>
      </w:r>
    </w:p>
    <w:p>
      <w:pPr>
        <w:spacing w:line="600" w:lineRule="exact"/>
        <w:rPr>
          <w:rStyle w:val="14"/>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13、</w:t>
      </w:r>
      <w:r>
        <w:rPr>
          <w:rFonts w:ascii="仿宋" w:hAnsi="仿宋" w:eastAsia="仿宋" w:cs="仿宋"/>
          <w:b w:val="0"/>
          <w:bCs/>
          <w:color w:val="000000"/>
          <w:sz w:val="32"/>
          <w:szCs w:val="32"/>
          <w:lang w:eastAsia="zh-CN"/>
        </w:rPr>
        <w:t>城乡社区支出</w:t>
      </w:r>
      <w:r>
        <w:rPr>
          <w:rFonts w:ascii="仿宋" w:hAnsi="仿宋" w:eastAsia="仿宋" w:cs="仿宋"/>
          <w:b w:val="0"/>
          <w:bCs/>
          <w:color w:val="000000"/>
          <w:sz w:val="32"/>
          <w:szCs w:val="32"/>
        </w:rPr>
        <w:t>（类）</w:t>
      </w:r>
      <w:r>
        <w:rPr>
          <w:rFonts w:ascii="仿宋" w:hAnsi="仿宋" w:eastAsia="仿宋" w:cs="仿宋"/>
          <w:b w:val="0"/>
          <w:bCs/>
          <w:color w:val="000000"/>
          <w:sz w:val="32"/>
          <w:szCs w:val="32"/>
          <w:lang w:eastAsia="zh-CN"/>
        </w:rPr>
        <w:t>城乡社区规划与管理（款）城乡社区规划与管理（项）：指城乡社区、名胜风景区、防灾减灾、历史名城规划制定与管理等方面的支出</w:t>
      </w:r>
      <w:r>
        <w:rPr>
          <w:rStyle w:val="14"/>
          <w:rFonts w:ascii="仿宋" w:hAnsi="仿宋" w:eastAsia="仿宋" w:cs="仿宋"/>
          <w:b w:val="0"/>
          <w:bCs/>
          <w:color w:val="000000"/>
          <w:sz w:val="32"/>
          <w:szCs w:val="32"/>
        </w:rPr>
        <w:t>。</w:t>
      </w:r>
    </w:p>
    <w:p>
      <w:pPr>
        <w:spacing w:line="600" w:lineRule="exact"/>
        <w:rPr>
          <w:rStyle w:val="14"/>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14、</w:t>
      </w:r>
      <w:r>
        <w:rPr>
          <w:rFonts w:ascii="仿宋" w:hAnsi="仿宋" w:eastAsia="仿宋" w:cs="仿宋"/>
          <w:b w:val="0"/>
          <w:bCs/>
          <w:color w:val="000000"/>
          <w:sz w:val="32"/>
          <w:szCs w:val="32"/>
          <w:lang w:eastAsia="zh-CN"/>
        </w:rPr>
        <w:t>城乡社区支出</w:t>
      </w:r>
      <w:r>
        <w:rPr>
          <w:rFonts w:ascii="仿宋" w:hAnsi="仿宋" w:eastAsia="仿宋" w:cs="仿宋"/>
          <w:b w:val="0"/>
          <w:bCs/>
          <w:color w:val="000000"/>
          <w:sz w:val="32"/>
          <w:szCs w:val="32"/>
        </w:rPr>
        <w:t>（类）</w:t>
      </w:r>
      <w:r>
        <w:rPr>
          <w:rFonts w:ascii="仿宋" w:hAnsi="仿宋" w:eastAsia="仿宋" w:cs="仿宋"/>
          <w:b w:val="0"/>
          <w:bCs/>
          <w:color w:val="000000"/>
          <w:sz w:val="32"/>
          <w:szCs w:val="32"/>
          <w:lang w:eastAsia="zh-CN"/>
        </w:rPr>
        <w:t>城乡社区公共设施（款）其他城乡社区公共设施支出（项）：指其他用于城乡社区公共设放方面的支出</w:t>
      </w:r>
      <w:r>
        <w:rPr>
          <w:rStyle w:val="14"/>
          <w:rFonts w:ascii="仿宋" w:hAnsi="仿宋" w:eastAsia="仿宋" w:cs="仿宋"/>
          <w:b w:val="0"/>
          <w:bCs/>
          <w:color w:val="000000"/>
          <w:sz w:val="32"/>
          <w:szCs w:val="32"/>
        </w:rPr>
        <w:t>。</w:t>
      </w:r>
    </w:p>
    <w:p>
      <w:pPr>
        <w:spacing w:line="600" w:lineRule="exact"/>
        <w:rPr>
          <w:rStyle w:val="14"/>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15、</w:t>
      </w:r>
      <w:r>
        <w:rPr>
          <w:rFonts w:ascii="仿宋" w:hAnsi="仿宋" w:eastAsia="仿宋" w:cs="仿宋"/>
          <w:b w:val="0"/>
          <w:bCs/>
          <w:color w:val="000000"/>
          <w:sz w:val="32"/>
          <w:szCs w:val="32"/>
          <w:lang w:eastAsia="zh-CN"/>
        </w:rPr>
        <w:t>城乡社区支出</w:t>
      </w:r>
      <w:r>
        <w:rPr>
          <w:rFonts w:ascii="仿宋" w:hAnsi="仿宋" w:eastAsia="仿宋" w:cs="仿宋"/>
          <w:b w:val="0"/>
          <w:bCs/>
          <w:color w:val="000000"/>
          <w:sz w:val="32"/>
          <w:szCs w:val="32"/>
        </w:rPr>
        <w:t>（类）</w:t>
      </w:r>
      <w:r>
        <w:rPr>
          <w:rFonts w:ascii="仿宋" w:hAnsi="仿宋" w:eastAsia="仿宋" w:cs="仿宋"/>
          <w:b w:val="0"/>
          <w:bCs/>
          <w:color w:val="000000"/>
          <w:sz w:val="32"/>
          <w:szCs w:val="32"/>
          <w:lang w:eastAsia="zh-CN"/>
        </w:rPr>
        <w:t>其他城乡社区支出（款）其他城乡社区支出（项）：指其他</w:t>
      </w:r>
      <w:r>
        <w:rPr>
          <w:rFonts w:ascii="仿宋" w:hAnsi="仿宋" w:eastAsia="仿宋" w:cs="仿宋"/>
          <w:color w:val="000000"/>
          <w:sz w:val="32"/>
          <w:szCs w:val="32"/>
          <w:lang w:eastAsia="zh-CN"/>
        </w:rPr>
        <w:t>用于城乡社区方面的支出</w:t>
      </w:r>
      <w:r>
        <w:rPr>
          <w:rStyle w:val="14"/>
          <w:rFonts w:ascii="仿宋" w:hAnsi="仿宋" w:eastAsia="仿宋" w:cs="仿宋"/>
          <w:b w:val="0"/>
          <w:bCs/>
          <w:color w:val="000000"/>
          <w:sz w:val="32"/>
          <w:szCs w:val="32"/>
        </w:rPr>
        <w:t>。</w:t>
      </w:r>
    </w:p>
    <w:p>
      <w:pPr>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lang w:val="en-US" w:eastAsia="zh-CN"/>
        </w:rPr>
        <w:t>16</w:t>
      </w:r>
      <w:r>
        <w:rPr>
          <w:rFonts w:ascii="仿宋_GB2312;仿宋" w:hAnsi="仿宋_GB2312;仿宋" w:eastAsia="仿宋_GB2312;仿宋"/>
          <w:color w:val="000000"/>
          <w:sz w:val="32"/>
          <w:szCs w:val="32"/>
        </w:rPr>
        <w:t>.住房保障（类）</w:t>
      </w:r>
      <w:r>
        <w:rPr>
          <w:rFonts w:ascii="仿宋_GB2312;仿宋" w:hAnsi="仿宋_GB2312;仿宋" w:eastAsia="仿宋_GB2312;仿宋"/>
          <w:color w:val="000000"/>
          <w:sz w:val="32"/>
          <w:szCs w:val="32"/>
          <w:lang w:eastAsia="zh-CN"/>
        </w:rPr>
        <w:t>住房改革支出</w:t>
      </w:r>
      <w:r>
        <w:rPr>
          <w:rFonts w:ascii="仿宋_GB2312;仿宋" w:hAnsi="仿宋_GB2312;仿宋" w:eastAsia="仿宋_GB2312;仿宋"/>
          <w:color w:val="000000"/>
          <w:sz w:val="32"/>
          <w:szCs w:val="32"/>
        </w:rPr>
        <w:t>（款）</w:t>
      </w:r>
      <w:r>
        <w:rPr>
          <w:rFonts w:ascii="仿宋_GB2312;仿宋" w:hAnsi="仿宋_GB2312;仿宋" w:eastAsia="仿宋_GB2312;仿宋"/>
          <w:color w:val="000000"/>
          <w:sz w:val="32"/>
          <w:szCs w:val="32"/>
          <w:lang w:eastAsia="zh-CN"/>
        </w:rPr>
        <w:t>住房公积金</w:t>
      </w:r>
      <w:r>
        <w:rPr>
          <w:rFonts w:ascii="仿宋_GB2312;仿宋" w:hAnsi="仿宋_GB2312;仿宋" w:eastAsia="仿宋_GB2312;仿宋"/>
          <w:color w:val="000000"/>
          <w:sz w:val="32"/>
          <w:szCs w:val="32"/>
        </w:rPr>
        <w:t>（项）：指</w:t>
      </w:r>
      <w:r>
        <w:rPr>
          <w:rFonts w:ascii="仿宋_GB2312;仿宋" w:hAnsi="仿宋_GB2312;仿宋" w:eastAsia="仿宋_GB2312;仿宋"/>
          <w:color w:val="000000"/>
          <w:sz w:val="32"/>
          <w:szCs w:val="32"/>
          <w:lang w:eastAsia="zh-CN"/>
        </w:rPr>
        <w:t>行政事业单位按</w:t>
      </w:r>
      <w:r>
        <w:rPr>
          <w:rFonts w:hint="eastAsia" w:ascii="仿宋_GB2312;仿宋" w:hAnsi="仿宋_GB2312;仿宋" w:eastAsia="仿宋_GB2312;仿宋"/>
          <w:color w:val="000000"/>
          <w:sz w:val="32"/>
          <w:szCs w:val="32"/>
          <w:lang w:eastAsia="zh-CN"/>
        </w:rPr>
        <w:t>人力资源</w:t>
      </w:r>
      <w:r>
        <w:rPr>
          <w:rFonts w:ascii="仿宋_GB2312;仿宋" w:hAnsi="仿宋_GB2312;仿宋" w:eastAsia="仿宋_GB2312;仿宋"/>
          <w:color w:val="000000"/>
          <w:sz w:val="32"/>
          <w:szCs w:val="32"/>
          <w:lang w:eastAsia="zh-CN"/>
        </w:rPr>
        <w:t>和社会保障部、财政部规定的基本工资和津贴补贴以及规定比例为职工缴纳的住房公积金</w:t>
      </w:r>
      <w:r>
        <w:rPr>
          <w:rFonts w:ascii="仿宋_GB2312;仿宋" w:hAnsi="仿宋_GB2312;仿宋" w:eastAsia="仿宋_GB2312;仿宋"/>
          <w:color w:val="000000"/>
          <w:sz w:val="32"/>
          <w:szCs w:val="32"/>
        </w:rPr>
        <w:t>。</w:t>
      </w:r>
    </w:p>
    <w:p>
      <w:pPr>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lang w:val="en-US" w:eastAsia="zh-CN"/>
        </w:rPr>
        <w:t>17</w:t>
      </w:r>
      <w:r>
        <w:rPr>
          <w:rFonts w:ascii="仿宋_GB2312;仿宋" w:hAnsi="仿宋_GB2312;仿宋" w:eastAsia="仿宋_GB2312;仿宋"/>
          <w:color w:val="000000"/>
          <w:sz w:val="32"/>
          <w:szCs w:val="32"/>
        </w:rPr>
        <w:t>.社会保障和就业（类）</w:t>
      </w:r>
      <w:r>
        <w:rPr>
          <w:rFonts w:ascii="仿宋_GB2312;仿宋" w:hAnsi="仿宋_GB2312;仿宋" w:eastAsia="仿宋_GB2312;仿宋"/>
          <w:color w:val="000000"/>
          <w:sz w:val="32"/>
          <w:szCs w:val="32"/>
          <w:lang w:eastAsia="zh-CN"/>
        </w:rPr>
        <w:t>行政事业单位离退休</w:t>
      </w:r>
      <w:r>
        <w:rPr>
          <w:rFonts w:ascii="仿宋_GB2312;仿宋" w:hAnsi="仿宋_GB2312;仿宋" w:eastAsia="仿宋_GB2312;仿宋"/>
          <w:color w:val="000000"/>
          <w:sz w:val="32"/>
          <w:szCs w:val="32"/>
        </w:rPr>
        <w:t>（款）</w:t>
      </w:r>
      <w:r>
        <w:rPr>
          <w:rFonts w:ascii="仿宋_GB2312;仿宋" w:hAnsi="仿宋_GB2312;仿宋" w:eastAsia="仿宋_GB2312;仿宋"/>
          <w:color w:val="000000"/>
          <w:sz w:val="32"/>
          <w:szCs w:val="32"/>
          <w:lang w:eastAsia="zh-CN"/>
        </w:rPr>
        <w:t>机关事业单位职业年金缴费支出</w:t>
      </w:r>
      <w:r>
        <w:rPr>
          <w:rFonts w:ascii="仿宋_GB2312;仿宋" w:hAnsi="仿宋_GB2312;仿宋" w:eastAsia="仿宋_GB2312;仿宋"/>
          <w:color w:val="000000"/>
          <w:sz w:val="32"/>
          <w:szCs w:val="32"/>
        </w:rPr>
        <w:t>（项）：指</w:t>
      </w:r>
      <w:r>
        <w:rPr>
          <w:rFonts w:ascii="仿宋_GB2312;仿宋" w:hAnsi="仿宋_GB2312;仿宋" w:eastAsia="仿宋_GB2312;仿宋"/>
          <w:color w:val="000000"/>
          <w:sz w:val="32"/>
          <w:szCs w:val="32"/>
          <w:lang w:eastAsia="zh-CN"/>
        </w:rPr>
        <w:t>机关事业单位实施养老保险制度由单位实际缴纳的基本年金支出</w:t>
      </w:r>
      <w:r>
        <w:rPr>
          <w:rFonts w:ascii="仿宋_GB2312;仿宋" w:hAnsi="仿宋_GB2312;仿宋" w:eastAsia="仿宋_GB2312;仿宋"/>
          <w:color w:val="000000"/>
          <w:sz w:val="32"/>
          <w:szCs w:val="32"/>
        </w:rPr>
        <w:t>。</w:t>
      </w:r>
    </w:p>
    <w:p>
      <w:pPr>
        <w:spacing w:line="600" w:lineRule="exact"/>
        <w:rPr>
          <w:rFonts w:ascii="仿宋" w:hAnsi="仿宋" w:eastAsia="仿宋" w:cs="仿宋"/>
          <w:b/>
          <w:color w:val="000000"/>
          <w:sz w:val="32"/>
          <w:szCs w:val="32"/>
        </w:rPr>
      </w:pPr>
      <w:r>
        <w:rPr>
          <w:rFonts w:ascii="仿宋" w:hAnsi="仿宋" w:eastAsia="仿宋" w:cs="仿宋"/>
          <w:b/>
          <w:color w:val="000000"/>
          <w:sz w:val="32"/>
          <w:szCs w:val="32"/>
        </w:rPr>
        <w:t>（解释本部门决算报表中全部功能分类科目至项级，请参照《</w:t>
      </w:r>
      <w:r>
        <w:rPr>
          <w:rFonts w:ascii="仿宋" w:hAnsi="仿宋" w:eastAsia="仿宋" w:cs="仿宋"/>
          <w:b/>
          <w:color w:val="000000"/>
          <w:sz w:val="32"/>
          <w:szCs w:val="32"/>
          <w:lang w:eastAsia="zh-CN"/>
        </w:rPr>
        <w:t>2019</w:t>
      </w:r>
      <w:r>
        <w:rPr>
          <w:rFonts w:ascii="仿宋" w:hAnsi="仿宋" w:eastAsia="仿宋" w:cs="仿宋"/>
          <w:b/>
          <w:color w:val="000000"/>
          <w:sz w:val="32"/>
          <w:szCs w:val="32"/>
        </w:rPr>
        <w:t>年政府收支分类科目》增减内容。）</w:t>
      </w:r>
    </w:p>
    <w:p>
      <w:pPr>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lang w:val="en-US" w:eastAsia="zh-CN"/>
        </w:rPr>
        <w:t>18</w:t>
      </w:r>
      <w:r>
        <w:rPr>
          <w:rFonts w:ascii="仿宋_GB2312;仿宋" w:hAnsi="仿宋_GB2312;仿宋" w:eastAsia="仿宋_GB2312;仿宋"/>
          <w:color w:val="000000"/>
          <w:sz w:val="32"/>
          <w:szCs w:val="32"/>
        </w:rPr>
        <w:t>.基本支出：指为保障机构正常运转、完成日常工作任务而发生的人员支出和公用支出。</w:t>
      </w:r>
    </w:p>
    <w:p>
      <w:pPr>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lang w:val="en-US" w:eastAsia="zh-CN"/>
        </w:rPr>
        <w:t>19</w:t>
      </w:r>
      <w:r>
        <w:rPr>
          <w:rFonts w:ascii="仿宋_GB2312;仿宋" w:hAnsi="仿宋_GB2312;仿宋" w:eastAsia="仿宋_GB2312;仿宋"/>
          <w:color w:val="000000"/>
          <w:sz w:val="32"/>
          <w:szCs w:val="32"/>
        </w:rPr>
        <w:t xml:space="preserve">.项目支出：指在基本支出之外为完成特定行政任务和事业发展目标所发生的支出。 </w:t>
      </w:r>
    </w:p>
    <w:p>
      <w:pPr>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rPr>
        <w:t>29.经营支出：指事业单位在专业业务活动及其辅助活动之外开展非独立核算经营活动发生的支出。</w:t>
      </w:r>
    </w:p>
    <w:p>
      <w:pPr>
        <w:pStyle w:val="18"/>
        <w:spacing w:line="560" w:lineRule="exact"/>
        <w:rPr>
          <w:rFonts w:ascii="仿宋_GB2312;仿宋" w:hAnsi="仿宋_GB2312;仿宋" w:eastAsia="仿宋_GB2312;仿宋"/>
          <w:sz w:val="32"/>
          <w:szCs w:val="32"/>
        </w:rPr>
      </w:pPr>
      <w:r>
        <w:rPr>
          <w:rFonts w:ascii="仿宋_GB2312;仿宋" w:hAnsi="仿宋_GB2312;仿宋" w:eastAsia="仿宋_GB2312;仿宋"/>
          <w:sz w:val="32"/>
          <w:szCs w:val="32"/>
          <w:lang w:val="en-US" w:eastAsia="zh-CN"/>
        </w:rPr>
        <w:t>20</w:t>
      </w:r>
      <w:r>
        <w:rPr>
          <w:rFonts w:ascii="仿宋_GB2312;仿宋" w:hAnsi="仿宋_GB2312;仿宋" w:eastAsia="仿宋_GB2312;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spacing w:line="560" w:lineRule="exact"/>
        <w:rPr>
          <w:rFonts w:ascii="仿宋_GB2312;仿宋" w:hAnsi="仿宋_GB2312;仿宋" w:eastAsia="仿宋_GB2312;仿宋"/>
          <w:sz w:val="32"/>
          <w:szCs w:val="32"/>
        </w:rPr>
      </w:pPr>
      <w:r>
        <w:rPr>
          <w:rFonts w:ascii="仿宋_GB2312;仿宋" w:hAnsi="仿宋_GB2312;仿宋" w:eastAsia="仿宋_GB2312;仿宋"/>
          <w:sz w:val="32"/>
          <w:szCs w:val="32"/>
          <w:lang w:val="en-US" w:eastAsia="zh-CN"/>
        </w:rPr>
        <w:t>21</w:t>
      </w:r>
      <w:r>
        <w:rPr>
          <w:rFonts w:ascii="仿宋_GB2312;仿宋" w:hAnsi="仿宋_GB2312;仿宋" w:eastAsia="仿宋_GB2312;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8"/>
        <w:spacing w:line="560" w:lineRule="exact"/>
        <w:rPr>
          <w:rFonts w:ascii="仿宋_GB2312;仿宋" w:hAnsi="仿宋_GB2312;仿宋" w:eastAsia="仿宋_GB2312;仿宋" w:cs="黑体"/>
          <w:sz w:val="32"/>
          <w:szCs w:val="32"/>
        </w:rPr>
      </w:pPr>
    </w:p>
    <w:p>
      <w:pPr>
        <w:rPr>
          <w:rFonts w:ascii="仿宋" w:hAnsi="仿宋" w:eastAsia="仿宋" w:cs="仿宋"/>
          <w:b/>
          <w:color w:val="000000"/>
          <w:sz w:val="32"/>
          <w:szCs w:val="32"/>
        </w:rPr>
      </w:pPr>
      <w:r>
        <w:rPr>
          <w:rFonts w:ascii="仿宋" w:hAnsi="仿宋" w:eastAsia="仿宋" w:cs="仿宋"/>
          <w:b/>
          <w:color w:val="000000"/>
          <w:sz w:val="32"/>
          <w:szCs w:val="32"/>
        </w:rPr>
        <w:t>（名词解释部分请根据各部门实际列支情况罗列，并根据本部门职责职能增减名词解释内容。）</w:t>
      </w:r>
      <w:r>
        <w:br w:type="page"/>
      </w:r>
    </w:p>
    <w:p>
      <w:pPr>
        <w:numPr>
          <w:ilvl w:val="0"/>
          <w:numId w:val="0"/>
        </w:numPr>
        <w:spacing w:line="600" w:lineRule="exact"/>
        <w:jc w:val="center"/>
        <w:outlineLvl w:val="0"/>
        <w:rPr>
          <w:rStyle w:val="12"/>
          <w:rFonts w:ascii="黑体" w:hAnsi="黑体" w:eastAsia="黑体" w:cs="黑体"/>
          <w:b w:val="0"/>
        </w:rPr>
      </w:pPr>
      <w:r>
        <w:rPr>
          <w:rFonts w:ascii="黑体" w:hAnsi="黑体" w:eastAsia="黑体" w:cs="黑体"/>
          <w:color w:val="000000"/>
          <w:sz w:val="44"/>
          <w:szCs w:val="44"/>
        </w:rPr>
        <w:t>第</w:t>
      </w:r>
      <w:r>
        <w:rPr>
          <w:rStyle w:val="12"/>
          <w:rFonts w:ascii="黑体" w:hAnsi="黑体" w:eastAsia="黑体" w:cs="黑体"/>
          <w:b w:val="0"/>
        </w:rPr>
        <w:t>四部分 附件</w:t>
      </w:r>
    </w:p>
    <w:p>
      <w:pPr>
        <w:numPr>
          <w:ilvl w:val="0"/>
          <w:numId w:val="0"/>
        </w:numPr>
        <w:spacing w:line="600" w:lineRule="exact"/>
        <w:jc w:val="left"/>
        <w:outlineLvl w:val="0"/>
        <w:rPr>
          <w:rFonts w:ascii="方正小标宋简体;宋体-方正超大字符集" w:hAnsi="方正小标宋简体;宋体-方正超大字符集" w:eastAsia="方正小标宋简体;宋体-方正超大字符集" w:cs="方正小标宋简体;宋体-方正超大字符集"/>
          <w:sz w:val="32"/>
          <w:szCs w:val="32"/>
        </w:rPr>
      </w:pPr>
      <w:r>
        <w:rPr>
          <w:rFonts w:ascii="黑体" w:hAnsi="黑体" w:eastAsia="黑体" w:cs="黑体"/>
          <w:sz w:val="32"/>
          <w:szCs w:val="32"/>
        </w:rPr>
        <w:t>附件1</w:t>
      </w:r>
    </w:p>
    <w:p>
      <w:pPr>
        <w:spacing w:line="580" w:lineRule="exact"/>
        <w:jc w:val="center"/>
        <w:rPr>
          <w:rFonts w:ascii="方正小标宋简体;宋体-方正超大字符集" w:hAnsi="方正小标宋简体;宋体-方正超大字符集" w:eastAsia="方正小标宋简体;宋体-方正超大字符集" w:cs="方正小标宋简体;宋体-方正超大字符集"/>
          <w:sz w:val="44"/>
          <w:szCs w:val="44"/>
        </w:rPr>
      </w:pPr>
    </w:p>
    <w:p>
      <w:pPr>
        <w:keepNext w:val="0"/>
        <w:keepLines w:val="0"/>
        <w:pageBreakBefore w:val="0"/>
        <w:widowControl w:val="0"/>
        <w:kinsoku/>
        <w:overflowPunct/>
        <w:bidi w:val="0"/>
        <w:snapToGrid/>
        <w:spacing w:line="640" w:lineRule="exact"/>
        <w:jc w:val="center"/>
        <w:textAlignment w:val="auto"/>
        <w:rPr>
          <w:rFonts w:ascii="方正小标宋_GBK" w:hAnsi="方正小标宋_GBK" w:eastAsia="方正小标宋_GBK" w:cs="方正小标宋_GBK"/>
          <w:b w:val="0"/>
          <w:bCs/>
          <w:sz w:val="44"/>
          <w:szCs w:val="44"/>
          <w:lang w:eastAsia="zh-CN"/>
        </w:rPr>
      </w:pPr>
      <w:r>
        <w:rPr>
          <w:rFonts w:ascii="方正小标宋_GBK" w:hAnsi="方正小标宋_GBK" w:eastAsia="方正小标宋_GBK" w:cs="方正小标宋_GBK"/>
          <w:b w:val="0"/>
          <w:bCs/>
          <w:sz w:val="44"/>
          <w:szCs w:val="44"/>
          <w:lang w:eastAsia="zh-CN"/>
        </w:rPr>
        <w:t>达州市达川区城乡环境综合治理中心</w:t>
      </w:r>
    </w:p>
    <w:p>
      <w:pPr>
        <w:keepNext w:val="0"/>
        <w:keepLines w:val="0"/>
        <w:pageBreakBefore w:val="0"/>
        <w:widowControl w:val="0"/>
        <w:kinsoku/>
        <w:overflowPunct/>
        <w:bidi w:val="0"/>
        <w:snapToGrid/>
        <w:spacing w:line="640" w:lineRule="exact"/>
        <w:jc w:val="center"/>
        <w:textAlignment w:val="auto"/>
        <w:rPr>
          <w:rFonts w:ascii="方正小标宋_GBK" w:hAnsi="方正小标宋_GBK" w:eastAsia="方正小标宋_GBK" w:cs="方正小标宋_GBK"/>
          <w:b w:val="0"/>
          <w:bCs/>
          <w:sz w:val="44"/>
          <w:szCs w:val="44"/>
          <w:lang w:eastAsia="zh-CN"/>
        </w:rPr>
      </w:pPr>
      <w:r>
        <w:rPr>
          <w:rFonts w:ascii="方正小标宋_GBK" w:hAnsi="方正小标宋_GBK" w:eastAsia="方正小标宋_GBK" w:cs="方正小标宋_GBK"/>
          <w:b w:val="0"/>
          <w:bCs/>
          <w:sz w:val="44"/>
          <w:szCs w:val="44"/>
          <w:lang w:val="en-US" w:eastAsia="zh-CN"/>
        </w:rPr>
        <w:t>2021</w:t>
      </w:r>
      <w:r>
        <w:rPr>
          <w:rFonts w:ascii="方正小标宋_GBK" w:hAnsi="方正小标宋_GBK" w:eastAsia="方正小标宋_GBK" w:cs="方正小标宋_GBK"/>
          <w:b w:val="0"/>
          <w:bCs/>
          <w:sz w:val="44"/>
          <w:szCs w:val="44"/>
        </w:rPr>
        <w:t>年部门整体支出绩效</w:t>
      </w:r>
      <w:r>
        <w:rPr>
          <w:rFonts w:ascii="方正小标宋_GBK" w:hAnsi="方正小标宋_GBK" w:eastAsia="方正小标宋_GBK" w:cs="方正小标宋_GBK"/>
          <w:b w:val="0"/>
          <w:bCs/>
          <w:sz w:val="44"/>
          <w:szCs w:val="44"/>
          <w:lang w:eastAsia="zh-CN"/>
        </w:rPr>
        <w:t>评价</w:t>
      </w:r>
      <w:r>
        <w:rPr>
          <w:rFonts w:ascii="方正小标宋_GBK" w:hAnsi="方正小标宋_GBK" w:eastAsia="方正小标宋_GBK" w:cs="方正小标宋_GBK"/>
          <w:b w:val="0"/>
          <w:bCs/>
          <w:sz w:val="44"/>
          <w:szCs w:val="44"/>
          <w:lang w:val="zh-CN"/>
        </w:rPr>
        <w:t>报告</w:t>
      </w:r>
    </w:p>
    <w:p>
      <w:pPr>
        <w:keepNext w:val="0"/>
        <w:keepLines w:val="0"/>
        <w:pageBreakBefore w:val="0"/>
        <w:kinsoku/>
        <w:overflowPunct/>
        <w:bidi w:val="0"/>
        <w:spacing w:line="578" w:lineRule="exact"/>
        <w:textAlignment w:val="auto"/>
        <w:rPr>
          <w:rFonts w:ascii="方正小标宋_GBK" w:hAnsi="方正小标宋_GBK" w:eastAsia="黑体" w:cs="方正小标宋_GBK"/>
          <w:b w:val="0"/>
          <w:bCs/>
          <w:sz w:val="32"/>
          <w:szCs w:val="32"/>
          <w:lang w:eastAsia="zh-CN"/>
        </w:rPr>
      </w:pPr>
    </w:p>
    <w:p>
      <w:pPr>
        <w:keepNext w:val="0"/>
        <w:keepLines w:val="0"/>
        <w:pageBreakBefore w:val="0"/>
        <w:kinsoku/>
        <w:overflowPunct/>
        <w:bidi w:val="0"/>
        <w:spacing w:line="578" w:lineRule="exact"/>
        <w:textAlignment w:val="auto"/>
        <w:rPr>
          <w:rFonts w:ascii="黑体" w:hAnsi="黑体" w:eastAsia="黑体" w:cs="黑体"/>
          <w:sz w:val="32"/>
          <w:szCs w:val="32"/>
        </w:rPr>
      </w:pPr>
      <w:r>
        <w:rPr>
          <w:rFonts w:ascii="黑体" w:hAnsi="黑体" w:eastAsia="黑体" w:cs="黑体"/>
          <w:sz w:val="32"/>
          <w:szCs w:val="32"/>
        </w:rPr>
        <w:t>一、单位概况</w:t>
      </w:r>
    </w:p>
    <w:p>
      <w:pPr>
        <w:keepNext w:val="0"/>
        <w:keepLines w:val="0"/>
        <w:pageBreakBefore w:val="0"/>
        <w:kinsoku/>
        <w:overflowPunct/>
        <w:bidi w:val="0"/>
        <w:spacing w:line="578" w:lineRule="exact"/>
        <w:jc w:val="left"/>
        <w:textAlignment w:val="auto"/>
        <w:rPr>
          <w:rFonts w:ascii="仿宋" w:hAnsi="仿宋" w:eastAsia="仿宋" w:cs="仿宋"/>
          <w:bCs/>
          <w:sz w:val="32"/>
          <w:szCs w:val="32"/>
        </w:rPr>
      </w:pPr>
      <w:r>
        <w:rPr>
          <w:rFonts w:ascii="仿宋" w:hAnsi="仿宋" w:eastAsia="仿宋" w:cs="仿宋"/>
          <w:bCs/>
          <w:sz w:val="32"/>
          <w:szCs w:val="32"/>
        </w:rPr>
        <w:t>（一）机构组成</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达川区</w:t>
      </w:r>
      <w:r>
        <w:rPr>
          <w:rFonts w:ascii="仿宋" w:hAnsi="仿宋" w:eastAsia="仿宋" w:cs="仿宋"/>
          <w:sz w:val="32"/>
          <w:szCs w:val="32"/>
          <w:lang w:eastAsia="zh-CN"/>
        </w:rPr>
        <w:t>城乡环境综合</w:t>
      </w:r>
      <w:r>
        <w:rPr>
          <w:rFonts w:ascii="仿宋" w:hAnsi="仿宋" w:eastAsia="仿宋" w:cs="仿宋"/>
          <w:sz w:val="32"/>
          <w:szCs w:val="32"/>
        </w:rPr>
        <w:t>治理</w:t>
      </w:r>
      <w:r>
        <w:rPr>
          <w:rFonts w:ascii="仿宋" w:hAnsi="仿宋" w:eastAsia="仿宋" w:cs="仿宋"/>
          <w:sz w:val="32"/>
          <w:szCs w:val="32"/>
          <w:lang w:eastAsia="zh-CN"/>
        </w:rPr>
        <w:t>中心</w:t>
      </w:r>
      <w:r>
        <w:rPr>
          <w:rFonts w:ascii="仿宋" w:hAnsi="仿宋" w:eastAsia="仿宋" w:cs="仿宋"/>
          <w:sz w:val="32"/>
          <w:szCs w:val="32"/>
        </w:rPr>
        <w:t>设</w:t>
      </w:r>
      <w:r>
        <w:rPr>
          <w:rFonts w:ascii="仿宋" w:hAnsi="仿宋" w:eastAsia="仿宋" w:cs="仿宋"/>
          <w:sz w:val="32"/>
          <w:szCs w:val="32"/>
          <w:lang w:val="en-US" w:eastAsia="zh-CN"/>
        </w:rPr>
        <w:t>5</w:t>
      </w:r>
      <w:r>
        <w:rPr>
          <w:rFonts w:ascii="仿宋" w:hAnsi="仿宋" w:eastAsia="仿宋" w:cs="仿宋"/>
          <w:sz w:val="32"/>
          <w:szCs w:val="32"/>
        </w:rPr>
        <w:t>个股室，综合股、宣传培训股</w:t>
      </w:r>
      <w:r>
        <w:rPr>
          <w:rFonts w:ascii="仿宋" w:hAnsi="仿宋" w:eastAsia="仿宋" w:cs="仿宋"/>
          <w:sz w:val="32"/>
          <w:szCs w:val="32"/>
          <w:lang w:eastAsia="zh-CN"/>
        </w:rPr>
        <w:t>、城市环境统筹协调股、农村环境治理股</w:t>
      </w:r>
      <w:r>
        <w:rPr>
          <w:rFonts w:ascii="仿宋" w:hAnsi="仿宋" w:eastAsia="仿宋" w:cs="仿宋"/>
          <w:sz w:val="32"/>
          <w:szCs w:val="32"/>
        </w:rPr>
        <w:t>、技术指导股。</w:t>
      </w:r>
    </w:p>
    <w:p>
      <w:pPr>
        <w:keepNext w:val="0"/>
        <w:keepLines w:val="0"/>
        <w:pageBreakBefore w:val="0"/>
        <w:kinsoku/>
        <w:overflowPunct/>
        <w:bidi w:val="0"/>
        <w:spacing w:line="578" w:lineRule="exact"/>
        <w:textAlignment w:val="auto"/>
        <w:rPr>
          <w:rFonts w:ascii="仿宋" w:hAnsi="仿宋" w:eastAsia="仿宋" w:cs="仿宋"/>
          <w:bCs/>
          <w:sz w:val="32"/>
          <w:szCs w:val="32"/>
        </w:rPr>
      </w:pPr>
      <w:r>
        <w:rPr>
          <w:rFonts w:ascii="仿宋" w:hAnsi="仿宋" w:eastAsia="仿宋" w:cs="仿宋"/>
          <w:bCs/>
          <w:sz w:val="32"/>
          <w:szCs w:val="32"/>
        </w:rPr>
        <w:t>（二）机构职能</w:t>
      </w:r>
    </w:p>
    <w:p>
      <w:pPr>
        <w:keepNext w:val="0"/>
        <w:keepLines w:val="0"/>
        <w:pageBreakBefore w:val="0"/>
        <w:kinsoku/>
        <w:overflowPunct/>
        <w:bidi w:val="0"/>
        <w:spacing w:line="578" w:lineRule="exact"/>
        <w:textAlignment w:val="auto"/>
        <w:rPr>
          <w:rFonts w:ascii="仿宋_GB2312;仿宋" w:hAnsi="仿宋_GB2312;仿宋" w:eastAsia="仿宋_GB2312;仿宋"/>
          <w:sz w:val="32"/>
          <w:szCs w:val="32"/>
        </w:rPr>
      </w:pPr>
      <w:r>
        <w:rPr>
          <w:rFonts w:ascii="仿宋" w:hAnsi="仿宋" w:eastAsia="仿宋" w:cs="仿宋"/>
          <w:sz w:val="32"/>
          <w:szCs w:val="32"/>
        </w:rPr>
        <w:t>达川区</w:t>
      </w:r>
      <w:r>
        <w:rPr>
          <w:rFonts w:ascii="仿宋" w:hAnsi="仿宋" w:eastAsia="仿宋" w:cs="仿宋"/>
          <w:sz w:val="32"/>
          <w:szCs w:val="32"/>
          <w:lang w:eastAsia="zh-CN"/>
        </w:rPr>
        <w:t>城乡环境综合</w:t>
      </w:r>
      <w:r>
        <w:rPr>
          <w:rFonts w:ascii="仿宋" w:hAnsi="仿宋" w:eastAsia="仿宋" w:cs="仿宋"/>
          <w:sz w:val="32"/>
          <w:szCs w:val="32"/>
        </w:rPr>
        <w:t>治理</w:t>
      </w:r>
      <w:r>
        <w:rPr>
          <w:rFonts w:ascii="仿宋" w:hAnsi="仿宋" w:eastAsia="仿宋" w:cs="仿宋"/>
          <w:sz w:val="32"/>
          <w:szCs w:val="32"/>
          <w:lang w:eastAsia="zh-CN"/>
        </w:rPr>
        <w:t>中心</w:t>
      </w:r>
      <w:r>
        <w:rPr>
          <w:rFonts w:ascii="仿宋_GB2312;仿宋" w:hAnsi="仿宋_GB2312;仿宋" w:eastAsia="仿宋_GB2312;仿宋"/>
          <w:sz w:val="32"/>
          <w:szCs w:val="32"/>
        </w:rPr>
        <w:t>主要工作职责是：</w:t>
      </w:r>
      <w:r>
        <w:rPr>
          <w:rFonts w:ascii="仿宋_GB2312;仿宋" w:hAnsi="仿宋_GB2312;仿宋" w:eastAsia="仿宋_GB2312;仿宋" w:cs="宋体"/>
          <w:kern w:val="0"/>
          <w:sz w:val="32"/>
          <w:szCs w:val="32"/>
        </w:rPr>
        <w:t>负责制定全区城乡环境综合治理的规划和方案，组织指导、综合协调、督促检查全区城乡环境综合治理工作的开展；负责指导乡镇规划建设管理办公室业务工作的开展；牵头考评全</w:t>
      </w:r>
      <w:r>
        <w:rPr>
          <w:rFonts w:ascii="仿宋_GB2312;仿宋" w:hAnsi="仿宋_GB2312;仿宋" w:cs="宋体"/>
          <w:kern w:val="0"/>
          <w:sz w:val="32"/>
          <w:szCs w:val="32"/>
          <w:lang w:val="en-US" w:eastAsia="zh-CN"/>
        </w:rPr>
        <w:t>区</w:t>
      </w:r>
      <w:r>
        <w:rPr>
          <w:rFonts w:ascii="仿宋_GB2312;仿宋" w:hAnsi="仿宋_GB2312;仿宋" w:eastAsia="仿宋_GB2312;仿宋" w:cs="宋体"/>
          <w:kern w:val="0"/>
          <w:sz w:val="32"/>
          <w:szCs w:val="32"/>
        </w:rPr>
        <w:t>各部门城乡环境治理工作实绩；负责完成区政府交办的其他工作。</w:t>
      </w:r>
    </w:p>
    <w:p>
      <w:pPr>
        <w:keepNext w:val="0"/>
        <w:keepLines w:val="0"/>
        <w:pageBreakBefore w:val="0"/>
        <w:kinsoku/>
        <w:overflowPunct/>
        <w:bidi w:val="0"/>
        <w:spacing w:line="578" w:lineRule="exact"/>
        <w:jc w:val="left"/>
        <w:textAlignment w:val="auto"/>
        <w:rPr>
          <w:rFonts w:ascii="仿宋" w:hAnsi="仿宋" w:eastAsia="仿宋" w:cs="仿宋"/>
          <w:bCs/>
          <w:sz w:val="32"/>
          <w:szCs w:val="32"/>
        </w:rPr>
      </w:pPr>
      <w:r>
        <w:rPr>
          <w:rFonts w:ascii="仿宋" w:hAnsi="仿宋" w:eastAsia="仿宋" w:cs="仿宋"/>
          <w:bCs/>
          <w:sz w:val="32"/>
          <w:szCs w:val="32"/>
        </w:rPr>
        <w:t>（三）人员概况</w:t>
      </w:r>
    </w:p>
    <w:p>
      <w:pPr>
        <w:keepNext w:val="0"/>
        <w:keepLines w:val="0"/>
        <w:pageBreakBefore w:val="0"/>
        <w:kinsoku/>
        <w:overflowPunct/>
        <w:bidi w:val="0"/>
        <w:spacing w:line="578" w:lineRule="exact"/>
        <w:jc w:val="left"/>
        <w:textAlignment w:val="auto"/>
        <w:rPr>
          <w:rFonts w:ascii="仿宋" w:hAnsi="仿宋" w:eastAsia="仿宋" w:cs="仿宋"/>
          <w:bCs/>
          <w:sz w:val="32"/>
          <w:szCs w:val="32"/>
        </w:rPr>
      </w:pPr>
      <w:r>
        <w:rPr>
          <w:rFonts w:ascii="仿宋" w:hAnsi="仿宋" w:eastAsia="仿宋" w:cs="仿宋"/>
          <w:bCs/>
          <w:sz w:val="32"/>
          <w:szCs w:val="32"/>
          <w:lang w:val="en-US" w:eastAsia="zh-CN"/>
        </w:rPr>
        <w:t>2020年度</w:t>
      </w:r>
      <w:r>
        <w:rPr>
          <w:rFonts w:ascii="仿宋" w:hAnsi="仿宋" w:eastAsia="仿宋" w:cs="仿宋"/>
          <w:sz w:val="32"/>
          <w:szCs w:val="32"/>
        </w:rPr>
        <w:t>达川区</w:t>
      </w:r>
      <w:r>
        <w:rPr>
          <w:rFonts w:ascii="仿宋" w:hAnsi="仿宋" w:eastAsia="仿宋" w:cs="仿宋"/>
          <w:sz w:val="32"/>
          <w:szCs w:val="32"/>
          <w:lang w:eastAsia="zh-CN"/>
        </w:rPr>
        <w:t>城乡环境综合</w:t>
      </w:r>
      <w:r>
        <w:rPr>
          <w:rFonts w:ascii="仿宋" w:hAnsi="仿宋" w:eastAsia="仿宋" w:cs="仿宋"/>
          <w:sz w:val="32"/>
          <w:szCs w:val="32"/>
        </w:rPr>
        <w:t>治理</w:t>
      </w:r>
      <w:r>
        <w:rPr>
          <w:rFonts w:ascii="仿宋" w:hAnsi="仿宋" w:eastAsia="仿宋" w:cs="仿宋"/>
          <w:sz w:val="32"/>
          <w:szCs w:val="32"/>
          <w:lang w:eastAsia="zh-CN"/>
        </w:rPr>
        <w:t>中心</w:t>
      </w:r>
      <w:r>
        <w:rPr>
          <w:rFonts w:ascii="仿宋" w:hAnsi="仿宋" w:eastAsia="仿宋" w:cs="仿宋"/>
          <w:bCs/>
          <w:sz w:val="32"/>
          <w:szCs w:val="32"/>
          <w:lang w:eastAsia="zh-CN"/>
        </w:rPr>
        <w:t>事业</w:t>
      </w:r>
      <w:r>
        <w:rPr>
          <w:rFonts w:ascii="仿宋" w:hAnsi="仿宋" w:eastAsia="仿宋" w:cs="仿宋"/>
          <w:bCs/>
          <w:sz w:val="32"/>
          <w:szCs w:val="32"/>
        </w:rPr>
        <w:t>编制</w:t>
      </w:r>
      <w:r>
        <w:rPr>
          <w:rFonts w:ascii="仿宋" w:hAnsi="仿宋" w:eastAsia="仿宋" w:cs="仿宋"/>
          <w:bCs/>
          <w:sz w:val="32"/>
          <w:szCs w:val="32"/>
          <w:lang w:eastAsia="zh-CN"/>
        </w:rPr>
        <w:t>数</w:t>
      </w:r>
      <w:r>
        <w:rPr>
          <w:rFonts w:ascii="仿宋" w:hAnsi="仿宋" w:eastAsia="仿宋" w:cs="仿宋"/>
          <w:bCs/>
          <w:sz w:val="32"/>
          <w:szCs w:val="32"/>
        </w:rPr>
        <w:t>2</w:t>
      </w:r>
      <w:r>
        <w:rPr>
          <w:rFonts w:ascii="仿宋" w:hAnsi="仿宋" w:eastAsia="仿宋" w:cs="仿宋"/>
          <w:bCs/>
          <w:sz w:val="32"/>
          <w:szCs w:val="32"/>
          <w:lang w:val="en-US" w:eastAsia="zh-CN"/>
        </w:rPr>
        <w:t>3</w:t>
      </w:r>
      <w:r>
        <w:rPr>
          <w:rFonts w:ascii="仿宋" w:hAnsi="仿宋" w:eastAsia="仿宋" w:cs="仿宋"/>
          <w:bCs/>
          <w:sz w:val="32"/>
          <w:szCs w:val="32"/>
        </w:rPr>
        <w:t>人，在编</w:t>
      </w:r>
      <w:r>
        <w:rPr>
          <w:rFonts w:ascii="仿宋" w:hAnsi="仿宋" w:eastAsia="仿宋" w:cs="仿宋"/>
          <w:bCs/>
          <w:sz w:val="32"/>
          <w:szCs w:val="32"/>
          <w:lang w:eastAsia="zh-CN"/>
        </w:rPr>
        <w:t>在岗</w:t>
      </w:r>
      <w:r>
        <w:rPr>
          <w:rFonts w:ascii="仿宋" w:hAnsi="仿宋" w:eastAsia="仿宋" w:cs="仿宋"/>
          <w:bCs/>
          <w:sz w:val="32"/>
          <w:szCs w:val="32"/>
        </w:rPr>
        <w:t>人员</w:t>
      </w:r>
      <w:r>
        <w:rPr>
          <w:rFonts w:ascii="仿宋" w:hAnsi="仿宋" w:eastAsia="仿宋" w:cs="仿宋"/>
          <w:bCs/>
          <w:sz w:val="32"/>
          <w:szCs w:val="32"/>
          <w:lang w:val="en-US" w:eastAsia="zh-CN"/>
        </w:rPr>
        <w:t>21</w:t>
      </w:r>
      <w:r>
        <w:rPr>
          <w:rFonts w:ascii="仿宋" w:hAnsi="仿宋" w:eastAsia="仿宋" w:cs="仿宋"/>
          <w:bCs/>
          <w:sz w:val="32"/>
          <w:szCs w:val="32"/>
        </w:rPr>
        <w:t>人。</w:t>
      </w:r>
    </w:p>
    <w:p>
      <w:pPr>
        <w:keepNext w:val="0"/>
        <w:keepLines w:val="0"/>
        <w:pageBreakBefore w:val="0"/>
        <w:kinsoku/>
        <w:overflowPunct/>
        <w:bidi w:val="0"/>
        <w:spacing w:line="578" w:lineRule="exact"/>
        <w:textAlignment w:val="auto"/>
        <w:rPr>
          <w:rFonts w:ascii="黑体" w:hAnsi="黑体" w:eastAsia="黑体" w:cs="黑体"/>
          <w:sz w:val="32"/>
          <w:szCs w:val="32"/>
        </w:rPr>
      </w:pPr>
      <w:r>
        <w:rPr>
          <w:rFonts w:ascii="黑体" w:hAnsi="黑体" w:eastAsia="黑体" w:cs="黑体"/>
          <w:sz w:val="32"/>
          <w:szCs w:val="32"/>
        </w:rPr>
        <w:t>二、20</w:t>
      </w:r>
      <w:r>
        <w:rPr>
          <w:rFonts w:ascii="黑体" w:hAnsi="黑体" w:eastAsia="黑体" w:cs="黑体"/>
          <w:sz w:val="32"/>
          <w:szCs w:val="32"/>
          <w:lang w:val="en-US" w:eastAsia="zh-CN"/>
        </w:rPr>
        <w:t>20</w:t>
      </w:r>
      <w:r>
        <w:rPr>
          <w:rFonts w:ascii="黑体" w:hAnsi="黑体" w:eastAsia="黑体" w:cs="黑体"/>
          <w:sz w:val="32"/>
          <w:szCs w:val="32"/>
        </w:rPr>
        <w:t>年部门收支情况</w:t>
      </w:r>
    </w:p>
    <w:p>
      <w:pPr>
        <w:keepNext w:val="0"/>
        <w:keepLines w:val="0"/>
        <w:pageBreakBefore w:val="0"/>
        <w:numPr>
          <w:ilvl w:val="0"/>
          <w:numId w:val="6"/>
        </w:numPr>
        <w:kinsoku/>
        <w:overflowPunct/>
        <w:bidi w:val="0"/>
        <w:spacing w:line="578" w:lineRule="exact"/>
        <w:textAlignment w:val="auto"/>
        <w:rPr>
          <w:rFonts w:ascii="仿宋" w:hAnsi="仿宋" w:eastAsia="仿宋" w:cs="仿宋"/>
          <w:bCs/>
          <w:sz w:val="32"/>
          <w:szCs w:val="32"/>
        </w:rPr>
      </w:pPr>
      <w:r>
        <w:rPr>
          <w:rFonts w:ascii="仿宋" w:hAnsi="仿宋" w:eastAsia="仿宋" w:cs="仿宋"/>
          <w:bCs/>
          <w:sz w:val="32"/>
          <w:szCs w:val="32"/>
        </w:rPr>
        <w:t>部门财政资金收入情况。</w:t>
      </w:r>
    </w:p>
    <w:p>
      <w:pPr>
        <w:keepNext w:val="0"/>
        <w:keepLines w:val="0"/>
        <w:pageBreakBefore w:val="0"/>
        <w:numPr>
          <w:ilvl w:val="0"/>
          <w:numId w:val="0"/>
        </w:numPr>
        <w:kinsoku/>
        <w:overflowPunct/>
        <w:bidi w:val="0"/>
        <w:spacing w:line="578" w:lineRule="exact"/>
        <w:textAlignment w:val="auto"/>
        <w:rPr>
          <w:rFonts w:ascii="仿宋_GB2312;仿宋" w:hAnsi="仿宋_GB2312;仿宋" w:eastAsia="仿宋_GB2312;仿宋"/>
          <w:color w:val="000000"/>
          <w:sz w:val="32"/>
          <w:szCs w:val="32"/>
        </w:rPr>
      </w:pPr>
      <w:r>
        <w:rPr>
          <w:rFonts w:ascii="仿宋_GB2312;仿宋" w:hAnsi="仿宋_GB2312;仿宋" w:eastAsia="仿宋_GB2312;仿宋"/>
          <w:color w:val="000000"/>
          <w:sz w:val="32"/>
          <w:szCs w:val="32"/>
        </w:rPr>
        <w:t>20</w:t>
      </w:r>
      <w:r>
        <w:rPr>
          <w:rFonts w:ascii="仿宋_GB2312;仿宋" w:hAnsi="仿宋_GB2312;仿宋"/>
          <w:color w:val="000000"/>
          <w:sz w:val="32"/>
          <w:szCs w:val="32"/>
          <w:lang w:val="en-US" w:eastAsia="zh-CN"/>
        </w:rPr>
        <w:t>20</w:t>
      </w:r>
      <w:r>
        <w:rPr>
          <w:rFonts w:ascii="仿宋_GB2312;仿宋" w:hAnsi="仿宋_GB2312;仿宋" w:eastAsia="仿宋_GB2312;仿宋"/>
          <w:color w:val="000000"/>
          <w:sz w:val="32"/>
          <w:szCs w:val="32"/>
        </w:rPr>
        <w:t>年</w:t>
      </w:r>
      <w:r>
        <w:rPr>
          <w:rFonts w:ascii="仿宋" w:hAnsi="仿宋" w:eastAsia="仿宋" w:cs="仿宋"/>
          <w:sz w:val="32"/>
          <w:szCs w:val="32"/>
        </w:rPr>
        <w:t>达川区</w:t>
      </w:r>
      <w:r>
        <w:rPr>
          <w:rFonts w:ascii="仿宋" w:hAnsi="仿宋" w:eastAsia="仿宋" w:cs="仿宋"/>
          <w:sz w:val="32"/>
          <w:szCs w:val="32"/>
          <w:lang w:eastAsia="zh-CN"/>
        </w:rPr>
        <w:t>城乡环境综合</w:t>
      </w:r>
      <w:r>
        <w:rPr>
          <w:rFonts w:ascii="仿宋" w:hAnsi="仿宋" w:eastAsia="仿宋" w:cs="仿宋"/>
          <w:sz w:val="32"/>
          <w:szCs w:val="32"/>
        </w:rPr>
        <w:t>治理</w:t>
      </w:r>
      <w:r>
        <w:rPr>
          <w:rFonts w:ascii="仿宋" w:hAnsi="仿宋" w:eastAsia="仿宋" w:cs="仿宋"/>
          <w:sz w:val="32"/>
          <w:szCs w:val="32"/>
          <w:lang w:eastAsia="zh-CN"/>
        </w:rPr>
        <w:t>中心</w:t>
      </w:r>
      <w:r>
        <w:rPr>
          <w:rFonts w:ascii="仿宋_GB2312;仿宋" w:hAnsi="仿宋_GB2312;仿宋" w:eastAsia="仿宋_GB2312;仿宋"/>
          <w:color w:val="000000"/>
          <w:sz w:val="32"/>
          <w:szCs w:val="32"/>
        </w:rPr>
        <w:t>本年收入合计</w:t>
      </w:r>
      <w:r>
        <w:rPr>
          <w:rFonts w:ascii="仿宋_GB2312;仿宋" w:hAnsi="仿宋_GB2312;仿宋"/>
          <w:color w:val="000000"/>
          <w:sz w:val="32"/>
          <w:szCs w:val="32"/>
          <w:lang w:val="en-US" w:eastAsia="zh-CN"/>
        </w:rPr>
        <w:t>2848.45</w:t>
      </w:r>
      <w:r>
        <w:rPr>
          <w:rFonts w:ascii="仿宋_GB2312;仿宋" w:hAnsi="仿宋_GB2312;仿宋" w:eastAsia="仿宋_GB2312;仿宋"/>
          <w:color w:val="000000"/>
          <w:sz w:val="32"/>
          <w:szCs w:val="32"/>
        </w:rPr>
        <w:t>万元，其中：一般公共预算财政拨款收入</w:t>
      </w:r>
      <w:r>
        <w:rPr>
          <w:rFonts w:ascii="仿宋_GB2312;仿宋" w:hAnsi="仿宋_GB2312;仿宋"/>
          <w:color w:val="000000"/>
          <w:sz w:val="32"/>
          <w:szCs w:val="32"/>
          <w:lang w:val="en-US" w:eastAsia="zh-CN"/>
        </w:rPr>
        <w:t>326.77</w:t>
      </w:r>
      <w:r>
        <w:rPr>
          <w:rFonts w:ascii="仿宋_GB2312;仿宋" w:hAnsi="仿宋_GB2312;仿宋" w:eastAsia="仿宋_GB2312;仿宋"/>
          <w:color w:val="000000"/>
          <w:sz w:val="32"/>
          <w:szCs w:val="32"/>
        </w:rPr>
        <w:t>万元，占</w:t>
      </w:r>
      <w:r>
        <w:rPr>
          <w:rFonts w:ascii="仿宋_GB2312;仿宋" w:hAnsi="仿宋_GB2312;仿宋"/>
          <w:color w:val="000000"/>
          <w:sz w:val="32"/>
          <w:szCs w:val="32"/>
          <w:lang w:val="en-US" w:eastAsia="zh-CN"/>
        </w:rPr>
        <w:t>11</w:t>
      </w:r>
      <w:r>
        <w:rPr>
          <w:rFonts w:ascii="仿宋_GB2312;仿宋" w:hAnsi="仿宋_GB2312;仿宋" w:eastAsia="仿宋_GB2312;仿宋"/>
          <w:color w:val="000000"/>
          <w:sz w:val="32"/>
          <w:szCs w:val="32"/>
        </w:rPr>
        <w:t>%；政府性基金预算财政拨款收入</w:t>
      </w:r>
      <w:r>
        <w:rPr>
          <w:rFonts w:ascii="仿宋_GB2312;仿宋" w:hAnsi="仿宋_GB2312;仿宋"/>
          <w:color w:val="000000"/>
          <w:sz w:val="32"/>
          <w:szCs w:val="32"/>
          <w:lang w:val="en-US" w:eastAsia="zh-CN"/>
        </w:rPr>
        <w:t>2521.68</w:t>
      </w:r>
      <w:r>
        <w:rPr>
          <w:rFonts w:ascii="仿宋_GB2312;仿宋" w:hAnsi="仿宋_GB2312;仿宋" w:eastAsia="仿宋_GB2312;仿宋"/>
          <w:color w:val="000000"/>
          <w:sz w:val="32"/>
          <w:szCs w:val="32"/>
        </w:rPr>
        <w:t>万元，占</w:t>
      </w:r>
      <w:r>
        <w:rPr>
          <w:rFonts w:ascii="仿宋_GB2312;仿宋" w:hAnsi="仿宋_GB2312;仿宋"/>
          <w:color w:val="000000"/>
          <w:sz w:val="32"/>
          <w:szCs w:val="32"/>
          <w:lang w:val="en-US" w:eastAsia="zh-CN"/>
        </w:rPr>
        <w:t>89</w:t>
      </w:r>
      <w:r>
        <w:rPr>
          <w:rFonts w:ascii="仿宋_GB2312;仿宋" w:hAnsi="仿宋_GB2312;仿宋" w:eastAsia="仿宋_GB2312;仿宋"/>
          <w:color w:val="000000"/>
          <w:sz w:val="32"/>
          <w:szCs w:val="32"/>
        </w:rPr>
        <w:t>%。</w:t>
      </w:r>
    </w:p>
    <w:p>
      <w:pPr>
        <w:keepNext w:val="0"/>
        <w:keepLines w:val="0"/>
        <w:pageBreakBefore w:val="0"/>
        <w:kinsoku/>
        <w:overflowPunct/>
        <w:bidi w:val="0"/>
        <w:snapToGrid w:val="0"/>
        <w:spacing w:line="578" w:lineRule="exact"/>
        <w:textAlignment w:val="auto"/>
        <w:rPr>
          <w:rFonts w:ascii="仿宋" w:hAnsi="仿宋" w:eastAsia="仿宋" w:cs="仿宋"/>
          <w:sz w:val="32"/>
          <w:szCs w:val="32"/>
        </w:rPr>
      </w:pPr>
      <w:r>
        <w:rPr>
          <w:rFonts w:ascii="仿宋" w:hAnsi="仿宋" w:eastAsia="仿宋" w:cs="仿宋"/>
          <w:sz w:val="32"/>
          <w:szCs w:val="32"/>
        </w:rPr>
        <w:t>（二）部门财政资金支出情况</w:t>
      </w:r>
    </w:p>
    <w:p>
      <w:pPr>
        <w:keepNext w:val="0"/>
        <w:keepLines w:val="0"/>
        <w:pageBreakBefore w:val="0"/>
        <w:kinsoku/>
        <w:overflowPunct/>
        <w:bidi w:val="0"/>
        <w:spacing w:line="578" w:lineRule="exact"/>
        <w:textAlignment w:val="auto"/>
        <w:rPr>
          <w:rFonts w:ascii="仿宋_GB2312;仿宋" w:hAnsi="仿宋_GB2312;仿宋" w:eastAsia="仿宋_GB2312;仿宋"/>
          <w:color w:val="000000"/>
          <w:sz w:val="32"/>
          <w:szCs w:val="32"/>
        </w:rPr>
      </w:pPr>
      <w:r>
        <w:rPr>
          <w:rFonts w:ascii="仿宋" w:hAnsi="仿宋" w:eastAsia="仿宋" w:cs="仿宋"/>
          <w:sz w:val="32"/>
          <w:szCs w:val="32"/>
        </w:rPr>
        <w:t>20</w:t>
      </w:r>
      <w:r>
        <w:rPr>
          <w:rFonts w:ascii="仿宋" w:hAnsi="仿宋" w:eastAsia="仿宋" w:cs="仿宋"/>
          <w:sz w:val="32"/>
          <w:szCs w:val="32"/>
          <w:lang w:val="en-US" w:eastAsia="zh-CN"/>
        </w:rPr>
        <w:t>20</w:t>
      </w:r>
      <w:r>
        <w:rPr>
          <w:rFonts w:ascii="仿宋_GB2312;仿宋" w:hAnsi="仿宋_GB2312;仿宋" w:eastAsia="仿宋_GB2312;仿宋"/>
          <w:color w:val="000000"/>
          <w:sz w:val="32"/>
          <w:szCs w:val="32"/>
        </w:rPr>
        <w:t>年区</w:t>
      </w:r>
      <w:r>
        <w:rPr>
          <w:rFonts w:ascii="仿宋_GB2312;仿宋" w:hAnsi="仿宋_GB2312;仿宋"/>
          <w:color w:val="000000"/>
          <w:sz w:val="32"/>
          <w:szCs w:val="32"/>
          <w:lang w:eastAsia="zh-CN"/>
        </w:rPr>
        <w:t>治理中心</w:t>
      </w:r>
      <w:r>
        <w:rPr>
          <w:rFonts w:ascii="仿宋_GB2312;仿宋" w:hAnsi="仿宋_GB2312;仿宋" w:eastAsia="仿宋_GB2312;仿宋"/>
          <w:color w:val="000000"/>
          <w:sz w:val="32"/>
          <w:szCs w:val="32"/>
        </w:rPr>
        <w:t>本年支出合计</w:t>
      </w:r>
      <w:r>
        <w:rPr>
          <w:rFonts w:ascii="仿宋_GB2312;仿宋" w:hAnsi="仿宋_GB2312;仿宋"/>
          <w:color w:val="000000"/>
          <w:sz w:val="32"/>
          <w:szCs w:val="32"/>
          <w:lang w:val="en-US" w:eastAsia="zh-CN"/>
        </w:rPr>
        <w:t>2730.95</w:t>
      </w:r>
      <w:r>
        <w:rPr>
          <w:rFonts w:ascii="仿宋_GB2312;仿宋" w:hAnsi="仿宋_GB2312;仿宋" w:eastAsia="仿宋_GB2312;仿宋"/>
          <w:color w:val="000000"/>
          <w:sz w:val="32"/>
          <w:szCs w:val="32"/>
        </w:rPr>
        <w:t>万元，其中：基本支出</w:t>
      </w:r>
      <w:r>
        <w:rPr>
          <w:rFonts w:ascii="仿宋_GB2312;仿宋" w:hAnsi="仿宋_GB2312;仿宋"/>
          <w:color w:val="000000"/>
          <w:sz w:val="32"/>
          <w:szCs w:val="32"/>
          <w:lang w:val="en-US" w:eastAsia="zh-CN"/>
        </w:rPr>
        <w:t>274.36</w:t>
      </w:r>
      <w:r>
        <w:rPr>
          <w:rFonts w:ascii="仿宋_GB2312;仿宋" w:hAnsi="仿宋_GB2312;仿宋" w:eastAsia="仿宋_GB2312;仿宋"/>
          <w:color w:val="000000"/>
          <w:sz w:val="32"/>
          <w:szCs w:val="32"/>
        </w:rPr>
        <w:t>万元，占</w:t>
      </w:r>
      <w:r>
        <w:rPr>
          <w:rFonts w:ascii="仿宋_GB2312;仿宋" w:hAnsi="仿宋_GB2312;仿宋"/>
          <w:color w:val="000000"/>
          <w:sz w:val="32"/>
          <w:szCs w:val="32"/>
          <w:lang w:val="en-US" w:eastAsia="zh-CN"/>
        </w:rPr>
        <w:t>10</w:t>
      </w:r>
      <w:r>
        <w:rPr>
          <w:rFonts w:ascii="仿宋_GB2312;仿宋" w:hAnsi="仿宋_GB2312;仿宋" w:eastAsia="仿宋_GB2312;仿宋"/>
          <w:color w:val="000000"/>
          <w:sz w:val="32"/>
          <w:szCs w:val="32"/>
        </w:rPr>
        <w:t>%；项目支出</w:t>
      </w:r>
      <w:r>
        <w:rPr>
          <w:rFonts w:ascii="仿宋_GB2312;仿宋" w:hAnsi="仿宋_GB2312;仿宋"/>
          <w:color w:val="000000"/>
          <w:sz w:val="32"/>
          <w:szCs w:val="32"/>
          <w:lang w:val="en-US" w:eastAsia="zh-CN"/>
        </w:rPr>
        <w:t>2456.59</w:t>
      </w:r>
      <w:r>
        <w:rPr>
          <w:rFonts w:ascii="仿宋_GB2312;仿宋" w:hAnsi="仿宋_GB2312;仿宋" w:eastAsia="仿宋_GB2312;仿宋"/>
          <w:color w:val="000000"/>
          <w:sz w:val="32"/>
          <w:szCs w:val="32"/>
        </w:rPr>
        <w:t>万元，占</w:t>
      </w:r>
      <w:r>
        <w:rPr>
          <w:rFonts w:ascii="仿宋_GB2312;仿宋" w:hAnsi="仿宋_GB2312;仿宋"/>
          <w:color w:val="000000"/>
          <w:sz w:val="32"/>
          <w:szCs w:val="32"/>
          <w:lang w:val="en-US" w:eastAsia="zh-CN"/>
        </w:rPr>
        <w:t>90</w:t>
      </w:r>
      <w:r>
        <w:rPr>
          <w:rFonts w:ascii="仿宋_GB2312;仿宋" w:hAnsi="仿宋_GB2312;仿宋" w:eastAsia="仿宋_GB2312;仿宋"/>
          <w:color w:val="000000"/>
          <w:sz w:val="32"/>
          <w:szCs w:val="32"/>
        </w:rPr>
        <w:t>%。</w:t>
      </w:r>
    </w:p>
    <w:p>
      <w:pPr>
        <w:keepNext w:val="0"/>
        <w:keepLines w:val="0"/>
        <w:pageBreakBefore w:val="0"/>
        <w:kinsoku/>
        <w:overflowPunct/>
        <w:bidi w:val="0"/>
        <w:snapToGrid w:val="0"/>
        <w:spacing w:line="578" w:lineRule="exact"/>
        <w:textAlignment w:val="auto"/>
        <w:rPr>
          <w:rFonts w:ascii="黑体" w:hAnsi="黑体" w:eastAsia="黑体" w:cs="黑体"/>
          <w:sz w:val="32"/>
          <w:szCs w:val="32"/>
        </w:rPr>
      </w:pPr>
      <w:r>
        <w:rPr>
          <w:rFonts w:ascii="黑体" w:hAnsi="黑体" w:eastAsia="黑体" w:cs="黑体"/>
          <w:sz w:val="32"/>
          <w:szCs w:val="32"/>
        </w:rPr>
        <w:t>三、部门</w:t>
      </w:r>
      <w:r>
        <w:rPr>
          <w:rFonts w:ascii="黑体" w:hAnsi="黑体" w:eastAsia="黑体" w:cs="黑体"/>
          <w:sz w:val="32"/>
          <w:szCs w:val="32"/>
          <w:lang w:eastAsia="zh-CN"/>
        </w:rPr>
        <w:t>整体预算绩效</w:t>
      </w:r>
      <w:r>
        <w:rPr>
          <w:rFonts w:ascii="黑体" w:hAnsi="黑体" w:eastAsia="黑体" w:cs="黑体"/>
          <w:sz w:val="32"/>
          <w:szCs w:val="32"/>
        </w:rPr>
        <w:t>管理情况</w:t>
      </w:r>
    </w:p>
    <w:p>
      <w:pPr>
        <w:keepNext w:val="0"/>
        <w:keepLines w:val="0"/>
        <w:pageBreakBefore w:val="0"/>
        <w:kinsoku/>
        <w:overflowPunct/>
        <w:bidi w:val="0"/>
        <w:spacing w:line="578" w:lineRule="exact"/>
        <w:textAlignment w:val="auto"/>
        <w:rPr>
          <w:rFonts w:ascii="仿宋" w:hAnsi="仿宋" w:eastAsia="仿宋" w:cs="仿宋"/>
          <w:sz w:val="32"/>
          <w:szCs w:val="32"/>
          <w:lang w:eastAsia="zh-CN"/>
        </w:rPr>
      </w:pPr>
      <w:r>
        <w:rPr>
          <w:rFonts w:ascii="仿宋" w:hAnsi="仿宋" w:eastAsia="仿宋" w:cs="仿宋"/>
          <w:sz w:val="32"/>
          <w:szCs w:val="32"/>
        </w:rPr>
        <w:t>（一）</w:t>
      </w:r>
      <w:r>
        <w:rPr>
          <w:rFonts w:ascii="仿宋" w:hAnsi="仿宋" w:eastAsia="仿宋" w:cs="仿宋"/>
          <w:sz w:val="32"/>
          <w:szCs w:val="32"/>
          <w:lang w:eastAsia="zh-CN"/>
        </w:rPr>
        <w:t>部门预算管理</w:t>
      </w:r>
    </w:p>
    <w:p>
      <w:pPr>
        <w:keepNext w:val="0"/>
        <w:keepLines w:val="0"/>
        <w:pageBreakBefore w:val="0"/>
        <w:kinsoku/>
        <w:overflowPunct/>
        <w:bidi w:val="0"/>
        <w:spacing w:line="578" w:lineRule="exact"/>
        <w:textAlignment w:val="auto"/>
        <w:rPr>
          <w:rFonts w:ascii="仿宋" w:hAnsi="仿宋" w:eastAsia="仿宋" w:cs="仿宋"/>
          <w:b/>
          <w:sz w:val="32"/>
          <w:szCs w:val="32"/>
        </w:rPr>
      </w:pPr>
      <w:r>
        <w:rPr>
          <w:rFonts w:ascii="仿宋" w:hAnsi="仿宋" w:eastAsia="仿宋" w:cs="仿宋"/>
          <w:sz w:val="32"/>
          <w:szCs w:val="32"/>
          <w:lang w:val="en-US" w:eastAsia="zh-CN"/>
        </w:rPr>
        <w:t>1、</w:t>
      </w:r>
      <w:r>
        <w:rPr>
          <w:rFonts w:ascii="仿宋" w:hAnsi="仿宋" w:eastAsia="仿宋" w:cs="仿宋"/>
          <w:sz w:val="32"/>
          <w:szCs w:val="32"/>
        </w:rPr>
        <w:t>预算编制情况</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lang w:eastAsia="zh-CN"/>
        </w:rPr>
        <w:t>（</w:t>
      </w:r>
      <w:r>
        <w:rPr>
          <w:rFonts w:ascii="仿宋" w:hAnsi="仿宋" w:eastAsia="仿宋" w:cs="仿宋"/>
          <w:sz w:val="32"/>
          <w:szCs w:val="32"/>
        </w:rPr>
        <w:t>1</w:t>
      </w:r>
      <w:r>
        <w:rPr>
          <w:rFonts w:ascii="仿宋" w:hAnsi="仿宋" w:eastAsia="仿宋" w:cs="仿宋"/>
          <w:sz w:val="32"/>
          <w:szCs w:val="32"/>
          <w:lang w:eastAsia="zh-CN"/>
        </w:rPr>
        <w:t>）报送时效</w:t>
      </w:r>
      <w:r>
        <w:rPr>
          <w:rFonts w:ascii="仿宋" w:hAnsi="仿宋" w:eastAsia="仿宋" w:cs="仿宋"/>
          <w:sz w:val="32"/>
          <w:szCs w:val="32"/>
        </w:rPr>
        <w:t>。按照部门预算编制通知和有关要求，按时完成基础库、项目库报送工作。</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lang w:eastAsia="zh-CN"/>
        </w:rPr>
        <w:t>（</w:t>
      </w:r>
      <w:r>
        <w:rPr>
          <w:rFonts w:ascii="仿宋" w:hAnsi="仿宋" w:eastAsia="仿宋" w:cs="仿宋"/>
          <w:sz w:val="32"/>
          <w:szCs w:val="32"/>
        </w:rPr>
        <w:t>2</w:t>
      </w:r>
      <w:r>
        <w:rPr>
          <w:rFonts w:ascii="仿宋" w:hAnsi="仿宋" w:eastAsia="仿宋" w:cs="仿宋"/>
          <w:sz w:val="32"/>
          <w:szCs w:val="32"/>
          <w:lang w:eastAsia="zh-CN"/>
        </w:rPr>
        <w:t>）编制质量</w:t>
      </w:r>
      <w:r>
        <w:rPr>
          <w:rFonts w:ascii="仿宋" w:hAnsi="仿宋" w:eastAsia="仿宋" w:cs="仿宋"/>
          <w:sz w:val="32"/>
          <w:szCs w:val="32"/>
        </w:rPr>
        <w:t>。预算编制准</w:t>
      </w:r>
      <w:r>
        <w:rPr>
          <w:rFonts w:ascii="仿宋" w:hAnsi="仿宋" w:eastAsia="仿宋" w:cs="仿宋"/>
          <w:sz w:val="32"/>
          <w:szCs w:val="32"/>
          <w:lang w:eastAsia="zh-CN"/>
        </w:rPr>
        <w:t>确，按照时间节点完成预算编制</w:t>
      </w:r>
      <w:r>
        <w:rPr>
          <w:rFonts w:ascii="仿宋" w:hAnsi="仿宋" w:eastAsia="仿宋" w:cs="仿宋"/>
          <w:sz w:val="32"/>
          <w:szCs w:val="32"/>
        </w:rPr>
        <w:t>。</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lang w:eastAsia="zh-CN"/>
        </w:rPr>
        <w:t>（</w:t>
      </w:r>
      <w:r>
        <w:rPr>
          <w:rFonts w:ascii="仿宋" w:hAnsi="仿宋" w:eastAsia="仿宋" w:cs="仿宋"/>
          <w:sz w:val="32"/>
          <w:szCs w:val="32"/>
        </w:rPr>
        <w:t>3</w:t>
      </w:r>
      <w:r>
        <w:rPr>
          <w:rFonts w:ascii="仿宋" w:hAnsi="仿宋" w:eastAsia="仿宋" w:cs="仿宋"/>
          <w:sz w:val="32"/>
          <w:szCs w:val="32"/>
          <w:lang w:eastAsia="zh-CN"/>
        </w:rPr>
        <w:t>）目标明确</w:t>
      </w:r>
      <w:r>
        <w:rPr>
          <w:rFonts w:ascii="仿宋" w:hAnsi="仿宋" w:eastAsia="仿宋" w:cs="仿宋"/>
          <w:sz w:val="32"/>
          <w:szCs w:val="32"/>
        </w:rPr>
        <w:t>。部门全年整体工作目标编制完整、合理。</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lang w:val="en-US" w:eastAsia="zh-CN"/>
        </w:rPr>
        <w:t>2、预算</w:t>
      </w:r>
      <w:r>
        <w:rPr>
          <w:rFonts w:ascii="仿宋" w:hAnsi="仿宋" w:eastAsia="仿宋" w:cs="仿宋"/>
          <w:sz w:val="32"/>
          <w:szCs w:val="32"/>
        </w:rPr>
        <w:t>执行情况</w:t>
      </w:r>
      <w:r>
        <w:rPr>
          <w:rFonts w:ascii="仿宋" w:hAnsi="仿宋" w:eastAsia="仿宋" w:cs="仿宋"/>
          <w:sz w:val="32"/>
          <w:szCs w:val="32"/>
        </w:rPr>
        <w:tab/>
      </w:r>
    </w:p>
    <w:p>
      <w:pPr>
        <w:keepNext w:val="0"/>
        <w:keepLines w:val="0"/>
        <w:pageBreakBefore w:val="0"/>
        <w:kinsoku/>
        <w:overflowPunct/>
        <w:bidi w:val="0"/>
        <w:spacing w:line="578" w:lineRule="exact"/>
        <w:textAlignment w:val="auto"/>
        <w:rPr>
          <w:rFonts w:ascii="仿宋" w:hAnsi="仿宋" w:eastAsia="仿宋" w:cs="仿宋"/>
          <w:sz w:val="32"/>
          <w:szCs w:val="32"/>
          <w:lang w:val="en-US" w:eastAsia="zh-CN"/>
        </w:rPr>
      </w:pPr>
      <w:r>
        <w:rPr>
          <w:rFonts w:ascii="仿宋" w:hAnsi="仿宋" w:eastAsia="仿宋" w:cs="仿宋"/>
          <w:sz w:val="32"/>
          <w:szCs w:val="32"/>
          <w:lang w:eastAsia="zh-CN"/>
        </w:rPr>
        <w:t>（</w:t>
      </w:r>
      <w:r>
        <w:rPr>
          <w:rFonts w:ascii="仿宋" w:hAnsi="仿宋" w:eastAsia="仿宋" w:cs="仿宋"/>
          <w:sz w:val="32"/>
          <w:szCs w:val="32"/>
        </w:rPr>
        <w:t>1</w:t>
      </w:r>
      <w:r>
        <w:rPr>
          <w:rFonts w:ascii="仿宋" w:hAnsi="仿宋" w:eastAsia="仿宋" w:cs="仿宋"/>
          <w:sz w:val="32"/>
          <w:szCs w:val="32"/>
          <w:lang w:eastAsia="zh-CN"/>
        </w:rPr>
        <w:t>）支出控制。日常公用经费、项目支出中“办公费、水费、电费等费用”年初数与决算数偏差较小</w:t>
      </w:r>
      <w:r>
        <w:rPr>
          <w:rFonts w:ascii="仿宋" w:hAnsi="仿宋" w:eastAsia="仿宋" w:cs="仿宋"/>
          <w:sz w:val="32"/>
          <w:szCs w:val="32"/>
          <w:lang w:val="en-US" w:eastAsia="zh-CN"/>
        </w:rPr>
        <w:t>。</w:t>
      </w:r>
    </w:p>
    <w:p>
      <w:pPr>
        <w:keepNext w:val="0"/>
        <w:keepLines w:val="0"/>
        <w:pageBreakBefore w:val="0"/>
        <w:kinsoku/>
        <w:overflowPunct/>
        <w:bidi w:val="0"/>
        <w:spacing w:line="578" w:lineRule="exact"/>
        <w:textAlignment w:val="auto"/>
        <w:rPr>
          <w:rFonts w:ascii="仿宋" w:hAnsi="仿宋" w:eastAsia="仿宋" w:cs="仿宋"/>
          <w:sz w:val="32"/>
          <w:szCs w:val="32"/>
          <w:lang w:eastAsia="zh-CN"/>
        </w:rPr>
      </w:pPr>
      <w:r>
        <w:rPr>
          <w:rFonts w:ascii="仿宋" w:hAnsi="仿宋" w:eastAsia="仿宋" w:cs="仿宋"/>
          <w:sz w:val="32"/>
          <w:szCs w:val="32"/>
          <w:lang w:eastAsia="zh-CN"/>
        </w:rPr>
        <w:t>（</w:t>
      </w:r>
      <w:r>
        <w:rPr>
          <w:rFonts w:ascii="仿宋" w:hAnsi="仿宋" w:eastAsia="仿宋" w:cs="仿宋"/>
          <w:sz w:val="32"/>
          <w:szCs w:val="32"/>
          <w:lang w:val="en-US" w:eastAsia="zh-CN"/>
        </w:rPr>
        <w:t>2</w:t>
      </w:r>
      <w:r>
        <w:rPr>
          <w:rFonts w:ascii="仿宋" w:hAnsi="仿宋" w:eastAsia="仿宋" w:cs="仿宋"/>
          <w:sz w:val="32"/>
          <w:szCs w:val="32"/>
          <w:lang w:eastAsia="zh-CN"/>
        </w:rPr>
        <w:t>）动态调整。将绩效监控结果应用到预算调整。</w:t>
      </w:r>
    </w:p>
    <w:p>
      <w:pPr>
        <w:keepNext w:val="0"/>
        <w:keepLines w:val="0"/>
        <w:pageBreakBefore w:val="0"/>
        <w:kinsoku/>
        <w:overflowPunct/>
        <w:bidi w:val="0"/>
        <w:spacing w:line="578" w:lineRule="exact"/>
        <w:textAlignment w:val="auto"/>
        <w:rPr>
          <w:rFonts w:ascii="仿宋" w:hAnsi="仿宋" w:eastAsia="仿宋" w:cs="仿宋"/>
          <w:sz w:val="32"/>
          <w:szCs w:val="32"/>
          <w:lang w:val="en-US" w:eastAsia="zh-CN"/>
        </w:rPr>
      </w:pPr>
      <w:r>
        <w:rPr>
          <w:rFonts w:ascii="仿宋" w:hAnsi="仿宋" w:eastAsia="仿宋" w:cs="仿宋"/>
          <w:sz w:val="32"/>
          <w:szCs w:val="32"/>
          <w:lang w:eastAsia="zh-CN"/>
        </w:rPr>
        <w:t>（</w:t>
      </w:r>
      <w:r>
        <w:rPr>
          <w:rFonts w:ascii="仿宋" w:hAnsi="仿宋" w:eastAsia="仿宋" w:cs="仿宋"/>
          <w:sz w:val="32"/>
          <w:szCs w:val="32"/>
          <w:lang w:val="en-US" w:eastAsia="zh-CN"/>
        </w:rPr>
        <w:t>3</w:t>
      </w:r>
      <w:r>
        <w:rPr>
          <w:rFonts w:ascii="仿宋" w:hAnsi="仿宋" w:eastAsia="仿宋" w:cs="仿宋"/>
          <w:sz w:val="32"/>
          <w:szCs w:val="32"/>
          <w:lang w:eastAsia="zh-CN"/>
        </w:rPr>
        <w:t>）</w:t>
      </w:r>
      <w:r>
        <w:rPr>
          <w:rFonts w:ascii="仿宋" w:hAnsi="仿宋" w:eastAsia="仿宋" w:cs="仿宋"/>
          <w:sz w:val="32"/>
          <w:szCs w:val="32"/>
        </w:rPr>
        <w:t>执行进度</w:t>
      </w:r>
      <w:r>
        <w:rPr>
          <w:rFonts w:ascii="仿宋" w:hAnsi="仿宋" w:eastAsia="仿宋" w:cs="仿宋"/>
          <w:sz w:val="32"/>
          <w:szCs w:val="32"/>
          <w:lang w:eastAsia="zh-CN"/>
        </w:rPr>
        <w:t>。</w:t>
      </w:r>
      <w:r>
        <w:rPr>
          <w:rFonts w:ascii="仿宋" w:hAnsi="仿宋" w:eastAsia="仿宋" w:cs="仿宋"/>
          <w:sz w:val="32"/>
          <w:szCs w:val="32"/>
          <w:lang w:val="en-US" w:eastAsia="zh-CN"/>
        </w:rPr>
        <w:t>6、9、11月实际支出进度分别达到标准。</w:t>
      </w:r>
    </w:p>
    <w:p>
      <w:pPr>
        <w:keepNext w:val="0"/>
        <w:keepLines w:val="0"/>
        <w:pageBreakBefore w:val="0"/>
        <w:kinsoku/>
        <w:overflowPunct/>
        <w:bidi w:val="0"/>
        <w:spacing w:line="578" w:lineRule="exact"/>
        <w:textAlignment w:val="auto"/>
        <w:rPr>
          <w:rFonts w:ascii="仿宋" w:hAnsi="仿宋" w:eastAsia="仿宋" w:cs="仿宋"/>
          <w:sz w:val="32"/>
          <w:szCs w:val="32"/>
          <w:lang w:eastAsia="zh-CN"/>
        </w:rPr>
      </w:pPr>
      <w:r>
        <w:rPr>
          <w:rFonts w:ascii="仿宋" w:hAnsi="仿宋" w:eastAsia="仿宋" w:cs="仿宋"/>
          <w:sz w:val="32"/>
          <w:szCs w:val="32"/>
          <w:lang w:val="en-US" w:eastAsia="zh-CN"/>
        </w:rPr>
        <w:t>3、</w:t>
      </w:r>
      <w:r>
        <w:rPr>
          <w:rFonts w:ascii="仿宋" w:hAnsi="仿宋" w:eastAsia="仿宋" w:cs="仿宋"/>
          <w:sz w:val="32"/>
          <w:szCs w:val="32"/>
          <w:lang w:eastAsia="zh-CN"/>
        </w:rPr>
        <w:t>完成结果</w:t>
      </w:r>
    </w:p>
    <w:p>
      <w:pPr>
        <w:keepNext w:val="0"/>
        <w:keepLines w:val="0"/>
        <w:pageBreakBefore w:val="0"/>
        <w:kinsoku/>
        <w:overflowPunct/>
        <w:bidi w:val="0"/>
        <w:spacing w:line="578" w:lineRule="exact"/>
        <w:textAlignment w:val="auto"/>
        <w:rPr>
          <w:rFonts w:ascii="仿宋" w:hAnsi="仿宋" w:eastAsia="仿宋" w:cs="仿宋"/>
          <w:sz w:val="32"/>
          <w:szCs w:val="32"/>
          <w:lang w:val="en-US" w:eastAsia="zh-CN"/>
        </w:rPr>
      </w:pPr>
      <w:r>
        <w:rPr>
          <w:rFonts w:ascii="仿宋" w:hAnsi="仿宋" w:eastAsia="仿宋" w:cs="仿宋"/>
          <w:sz w:val="32"/>
          <w:szCs w:val="32"/>
          <w:lang w:eastAsia="zh-CN"/>
        </w:rPr>
        <w:t>（</w:t>
      </w:r>
      <w:r>
        <w:rPr>
          <w:rFonts w:ascii="仿宋" w:hAnsi="仿宋" w:eastAsia="仿宋" w:cs="仿宋"/>
          <w:sz w:val="32"/>
          <w:szCs w:val="32"/>
          <w:lang w:val="en-US" w:eastAsia="zh-CN"/>
        </w:rPr>
        <w:t>1</w:t>
      </w:r>
      <w:r>
        <w:rPr>
          <w:rFonts w:ascii="仿宋" w:hAnsi="仿宋" w:eastAsia="仿宋" w:cs="仿宋"/>
          <w:sz w:val="32"/>
          <w:szCs w:val="32"/>
          <w:lang w:eastAsia="zh-CN"/>
        </w:rPr>
        <w:t>）</w:t>
      </w:r>
      <w:r>
        <w:rPr>
          <w:rFonts w:ascii="仿宋" w:hAnsi="仿宋" w:eastAsia="仿宋" w:cs="仿宋"/>
          <w:sz w:val="32"/>
          <w:szCs w:val="32"/>
        </w:rPr>
        <w:t>预算完成</w:t>
      </w:r>
      <w:r>
        <w:rPr>
          <w:rFonts w:ascii="仿宋" w:hAnsi="仿宋" w:eastAsia="仿宋" w:cs="仿宋"/>
          <w:sz w:val="32"/>
          <w:szCs w:val="32"/>
          <w:lang w:eastAsia="zh-CN"/>
        </w:rPr>
        <w:t>。预算项目</w:t>
      </w:r>
      <w:r>
        <w:rPr>
          <w:rFonts w:ascii="仿宋" w:hAnsi="仿宋" w:eastAsia="仿宋" w:cs="仿宋"/>
          <w:sz w:val="32"/>
          <w:szCs w:val="32"/>
          <w:lang w:val="en-US" w:eastAsia="zh-CN"/>
        </w:rPr>
        <w:t>12月预算执行进度达到100%。</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lang w:eastAsia="zh-CN"/>
        </w:rPr>
        <w:t>（</w:t>
      </w:r>
      <w:r>
        <w:rPr>
          <w:rFonts w:ascii="仿宋" w:hAnsi="仿宋" w:eastAsia="仿宋" w:cs="仿宋"/>
          <w:sz w:val="32"/>
          <w:szCs w:val="32"/>
          <w:lang w:val="en-US" w:eastAsia="zh-CN"/>
        </w:rPr>
        <w:t>2）</w:t>
      </w:r>
      <w:r>
        <w:rPr>
          <w:rFonts w:ascii="仿宋" w:hAnsi="仿宋" w:eastAsia="仿宋" w:cs="仿宋"/>
          <w:sz w:val="32"/>
          <w:szCs w:val="32"/>
          <w:lang w:eastAsia="zh-CN"/>
        </w:rPr>
        <w:t>违规记录</w:t>
      </w:r>
      <w:r>
        <w:rPr>
          <w:rFonts w:ascii="仿宋" w:hAnsi="仿宋" w:eastAsia="仿宋" w:cs="仿宋"/>
          <w:sz w:val="32"/>
          <w:szCs w:val="32"/>
        </w:rPr>
        <w:t>。</w:t>
      </w:r>
      <w:r>
        <w:rPr>
          <w:rFonts w:ascii="仿宋" w:hAnsi="仿宋" w:eastAsia="仿宋" w:cs="仿宋"/>
          <w:sz w:val="32"/>
          <w:szCs w:val="32"/>
          <w:lang w:eastAsia="zh-CN"/>
        </w:rPr>
        <w:t>据上一年度审计监督、财政检查结果，无预算管理方面违纪违规问题。</w:t>
      </w:r>
    </w:p>
    <w:p>
      <w:pPr>
        <w:keepNext w:val="0"/>
        <w:keepLines w:val="0"/>
        <w:pageBreakBefore w:val="0"/>
        <w:kinsoku/>
        <w:overflowPunct/>
        <w:bidi w:val="0"/>
        <w:spacing w:line="578" w:lineRule="exact"/>
        <w:textAlignment w:val="auto"/>
        <w:rPr>
          <w:rFonts w:ascii="仿宋" w:hAnsi="仿宋" w:eastAsia="仿宋" w:cs="仿宋"/>
          <w:sz w:val="32"/>
          <w:szCs w:val="32"/>
          <w:lang w:eastAsia="zh-CN"/>
        </w:rPr>
      </w:pPr>
      <w:r>
        <w:rPr>
          <w:rFonts w:ascii="仿宋" w:hAnsi="仿宋" w:eastAsia="仿宋" w:cs="仿宋"/>
          <w:sz w:val="32"/>
          <w:szCs w:val="32"/>
          <w:lang w:eastAsia="zh-CN"/>
        </w:rPr>
        <w:t>（二）专项预算管理</w:t>
      </w:r>
    </w:p>
    <w:p>
      <w:pPr>
        <w:keepNext w:val="0"/>
        <w:keepLines w:val="0"/>
        <w:pageBreakBefore w:val="0"/>
        <w:kinsoku/>
        <w:overflowPunct/>
        <w:bidi w:val="0"/>
        <w:spacing w:line="578" w:lineRule="exact"/>
        <w:textAlignment w:val="auto"/>
        <w:rPr>
          <w:rFonts w:ascii="仿宋" w:hAnsi="仿宋" w:eastAsia="仿宋" w:cs="仿宋"/>
          <w:sz w:val="32"/>
          <w:szCs w:val="32"/>
          <w:lang w:eastAsia="zh-CN"/>
        </w:rPr>
      </w:pPr>
      <w:r>
        <w:rPr>
          <w:rFonts w:ascii="仿宋" w:hAnsi="仿宋" w:eastAsia="仿宋" w:cs="仿宋_GB2312;仿宋"/>
          <w:sz w:val="32"/>
          <w:szCs w:val="32"/>
        </w:rPr>
        <w:t>专项预算项目程序严密、规划合理、结果符合、分配科学、分配及时、专项预算绩效目标完成、实施绩效、</w:t>
      </w:r>
      <w:r>
        <w:rPr>
          <w:rFonts w:ascii="仿宋" w:hAnsi="仿宋" w:eastAsia="仿宋" w:cs="仿宋_GB2312;仿宋"/>
          <w:sz w:val="32"/>
          <w:szCs w:val="32"/>
          <w:lang w:eastAsia="zh-CN"/>
        </w:rPr>
        <w:t>无</w:t>
      </w:r>
      <w:r>
        <w:rPr>
          <w:rFonts w:ascii="仿宋" w:hAnsi="仿宋" w:eastAsia="仿宋" w:cs="仿宋_GB2312;仿宋"/>
          <w:sz w:val="32"/>
          <w:szCs w:val="32"/>
        </w:rPr>
        <w:t>违规记录等情况</w:t>
      </w:r>
      <w:r>
        <w:rPr>
          <w:rFonts w:ascii="仿宋" w:hAnsi="仿宋" w:eastAsia="仿宋" w:cs="仿宋_GB2312;仿宋"/>
          <w:sz w:val="32"/>
          <w:szCs w:val="32"/>
          <w:lang w:eastAsia="zh-CN"/>
        </w:rPr>
        <w:t>。</w:t>
      </w:r>
    </w:p>
    <w:p>
      <w:pPr>
        <w:keepNext w:val="0"/>
        <w:keepLines w:val="0"/>
        <w:pageBreakBefore w:val="0"/>
        <w:kinsoku/>
        <w:overflowPunct/>
        <w:bidi w:val="0"/>
        <w:spacing w:line="578" w:lineRule="exact"/>
        <w:textAlignment w:val="auto"/>
        <w:rPr>
          <w:rFonts w:ascii="仿宋" w:hAnsi="仿宋" w:eastAsia="仿宋" w:cs="仿宋"/>
          <w:sz w:val="32"/>
          <w:szCs w:val="32"/>
          <w:lang w:eastAsia="zh-CN"/>
        </w:rPr>
      </w:pPr>
      <w:r>
        <w:rPr>
          <w:rFonts w:ascii="仿宋" w:hAnsi="仿宋" w:eastAsia="仿宋" w:cs="仿宋"/>
          <w:sz w:val="32"/>
          <w:szCs w:val="32"/>
        </w:rPr>
        <w:t>（三）</w:t>
      </w:r>
      <w:r>
        <w:rPr>
          <w:rFonts w:ascii="仿宋" w:hAnsi="仿宋" w:eastAsia="仿宋" w:cs="仿宋"/>
          <w:sz w:val="32"/>
          <w:szCs w:val="32"/>
          <w:lang w:eastAsia="zh-CN"/>
        </w:rPr>
        <w:t>综合管理情况</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lang w:val="en-US" w:eastAsia="zh-CN"/>
        </w:rPr>
        <w:t>1、</w:t>
      </w:r>
      <w:r>
        <w:rPr>
          <w:rFonts w:ascii="仿宋" w:hAnsi="仿宋" w:eastAsia="仿宋" w:cs="仿宋"/>
          <w:sz w:val="32"/>
          <w:szCs w:val="32"/>
          <w:lang w:eastAsia="zh-CN"/>
        </w:rPr>
        <w:t>政府性债务管理情况</w:t>
      </w:r>
      <w:r>
        <w:rPr>
          <w:rFonts w:ascii="仿宋" w:hAnsi="仿宋" w:eastAsia="仿宋" w:cs="仿宋"/>
          <w:sz w:val="32"/>
          <w:szCs w:val="32"/>
        </w:rPr>
        <w:t>。我单位无政府性债务。</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lang w:val="en-US" w:eastAsia="zh-CN"/>
        </w:rPr>
        <w:t>2、</w:t>
      </w:r>
      <w:r>
        <w:rPr>
          <w:rFonts w:ascii="仿宋" w:hAnsi="仿宋" w:eastAsia="仿宋" w:cs="仿宋"/>
          <w:sz w:val="32"/>
          <w:szCs w:val="32"/>
        </w:rPr>
        <w:t>非税收入管理情况。我单位无非税收入。</w:t>
      </w:r>
    </w:p>
    <w:p>
      <w:pPr>
        <w:keepNext w:val="0"/>
        <w:keepLines w:val="0"/>
        <w:pageBreakBefore w:val="0"/>
        <w:kinsoku/>
        <w:overflowPunct/>
        <w:bidi w:val="0"/>
        <w:spacing w:line="578" w:lineRule="exact"/>
        <w:textAlignment w:val="auto"/>
        <w:rPr>
          <w:rFonts w:ascii="仿宋" w:hAnsi="仿宋" w:eastAsia="仿宋" w:cs="仿宋"/>
          <w:sz w:val="32"/>
          <w:szCs w:val="32"/>
          <w:lang w:eastAsia="zh-CN"/>
        </w:rPr>
      </w:pPr>
      <w:r>
        <w:rPr>
          <w:rFonts w:ascii="仿宋" w:hAnsi="仿宋" w:eastAsia="仿宋" w:cs="仿宋"/>
          <w:sz w:val="32"/>
          <w:szCs w:val="32"/>
          <w:lang w:val="en-US" w:eastAsia="zh-CN"/>
        </w:rPr>
        <w:t>3</w:t>
      </w:r>
      <w:r>
        <w:rPr>
          <w:rFonts w:ascii="仿宋" w:hAnsi="仿宋" w:eastAsia="仿宋" w:cs="仿宋"/>
          <w:sz w:val="32"/>
          <w:szCs w:val="32"/>
        </w:rPr>
        <w:t>、政府采购</w:t>
      </w:r>
      <w:r>
        <w:rPr>
          <w:rFonts w:ascii="仿宋" w:hAnsi="仿宋" w:eastAsia="仿宋" w:cs="仿宋"/>
          <w:sz w:val="32"/>
          <w:szCs w:val="32"/>
          <w:lang w:eastAsia="zh-CN"/>
        </w:rPr>
        <w:t>执行管理</w:t>
      </w:r>
      <w:r>
        <w:rPr>
          <w:rFonts w:ascii="仿宋" w:hAnsi="仿宋" w:eastAsia="仿宋" w:cs="仿宋"/>
          <w:sz w:val="32"/>
          <w:szCs w:val="32"/>
        </w:rPr>
        <w:t>情况。按照《预算法》和《政府采购法》规定编制政府采购预算和实施政府采购计划，按规定做好备案工作。</w:t>
      </w:r>
      <w:r>
        <w:rPr>
          <w:rFonts w:ascii="仿宋" w:hAnsi="仿宋" w:eastAsia="仿宋" w:cs="仿宋"/>
          <w:sz w:val="32"/>
          <w:szCs w:val="32"/>
          <w:lang w:val="en-US" w:eastAsia="zh-CN"/>
        </w:rPr>
        <w:t>2020</w:t>
      </w:r>
      <w:r>
        <w:rPr>
          <w:rFonts w:ascii="仿宋" w:hAnsi="仿宋" w:eastAsia="仿宋" w:cs="仿宋"/>
          <w:sz w:val="32"/>
          <w:szCs w:val="32"/>
        </w:rPr>
        <w:t>年政府采购预算为</w:t>
      </w:r>
      <w:r>
        <w:rPr>
          <w:rFonts w:ascii="仿宋" w:hAnsi="仿宋" w:eastAsia="仿宋" w:cs="仿宋"/>
          <w:sz w:val="32"/>
          <w:szCs w:val="32"/>
          <w:lang w:val="en-US" w:eastAsia="zh-CN"/>
        </w:rPr>
        <w:t>2.8</w:t>
      </w:r>
      <w:r>
        <w:rPr>
          <w:rFonts w:ascii="仿宋" w:hAnsi="仿宋" w:eastAsia="仿宋" w:cs="仿宋"/>
          <w:sz w:val="32"/>
          <w:szCs w:val="32"/>
        </w:rPr>
        <w:t>万元，20</w:t>
      </w:r>
      <w:r>
        <w:rPr>
          <w:rFonts w:ascii="仿宋" w:hAnsi="仿宋" w:eastAsia="仿宋" w:cs="仿宋"/>
          <w:sz w:val="32"/>
          <w:szCs w:val="32"/>
          <w:lang w:val="en-US" w:eastAsia="zh-CN"/>
        </w:rPr>
        <w:t>20</w:t>
      </w:r>
      <w:r>
        <w:rPr>
          <w:rFonts w:ascii="仿宋" w:hAnsi="仿宋" w:eastAsia="仿宋" w:cs="仿宋"/>
          <w:sz w:val="32"/>
          <w:szCs w:val="32"/>
        </w:rPr>
        <w:t>年政府采购实际执行</w:t>
      </w:r>
      <w:r>
        <w:rPr>
          <w:rFonts w:ascii="仿宋" w:hAnsi="仿宋" w:eastAsia="仿宋" w:cs="仿宋"/>
          <w:sz w:val="32"/>
          <w:szCs w:val="32"/>
          <w:lang w:val="en-US" w:eastAsia="zh-CN"/>
        </w:rPr>
        <w:t>0.099</w:t>
      </w:r>
      <w:r>
        <w:rPr>
          <w:rFonts w:ascii="仿宋" w:hAnsi="仿宋" w:eastAsia="仿宋" w:cs="仿宋"/>
          <w:sz w:val="32"/>
          <w:szCs w:val="32"/>
        </w:rPr>
        <w:t>万元，全部为办公设备购置类采购，实际执行与政府采购预算的一致性为</w:t>
      </w:r>
      <w:r>
        <w:rPr>
          <w:rFonts w:ascii="仿宋" w:hAnsi="仿宋" w:eastAsia="仿宋" w:cs="仿宋"/>
          <w:sz w:val="32"/>
          <w:szCs w:val="32"/>
          <w:lang w:val="en-US" w:eastAsia="zh-CN"/>
        </w:rPr>
        <w:t>3.5</w:t>
      </w:r>
      <w:r>
        <w:rPr>
          <w:rFonts w:ascii="仿宋" w:hAnsi="仿宋" w:eastAsia="仿宋" w:cs="仿宋"/>
          <w:sz w:val="32"/>
          <w:szCs w:val="32"/>
        </w:rPr>
        <w:t>%。</w:t>
      </w:r>
      <w:r>
        <w:rPr>
          <w:rFonts w:ascii="仿宋" w:hAnsi="仿宋" w:eastAsia="仿宋" w:cs="仿宋"/>
          <w:sz w:val="32"/>
          <w:szCs w:val="32"/>
          <w:lang w:eastAsia="zh-CN"/>
        </w:rPr>
        <w:t>差异主要是采购费用有节约。</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lang w:val="en-US" w:eastAsia="zh-CN"/>
        </w:rPr>
        <w:t>4</w:t>
      </w:r>
      <w:r>
        <w:rPr>
          <w:rFonts w:ascii="仿宋" w:hAnsi="仿宋" w:eastAsia="仿宋" w:cs="仿宋"/>
          <w:sz w:val="32"/>
          <w:szCs w:val="32"/>
        </w:rPr>
        <w:t>、资产管理。我单位由综合股统一管理固定资产，设有专人负责，帐实分管，由会计统一建账、核算，资产管理员统一登记、监督管理和维修。各股室是固定资产的使用部门，并负责固定资产的保管和使用。同时，根据《行政事业单位资产清查核实管理办法》，于20</w:t>
      </w:r>
      <w:r>
        <w:rPr>
          <w:rFonts w:ascii="仿宋" w:hAnsi="仿宋" w:eastAsia="仿宋" w:cs="仿宋"/>
          <w:sz w:val="32"/>
          <w:szCs w:val="32"/>
          <w:lang w:val="en-US" w:eastAsia="zh-CN"/>
        </w:rPr>
        <w:t>20</w:t>
      </w:r>
      <w:r>
        <w:rPr>
          <w:rFonts w:ascii="仿宋" w:hAnsi="仿宋" w:eastAsia="仿宋" w:cs="仿宋"/>
          <w:sz w:val="32"/>
          <w:szCs w:val="32"/>
        </w:rPr>
        <w:t>年</w:t>
      </w:r>
      <w:r>
        <w:rPr>
          <w:rFonts w:ascii="仿宋" w:hAnsi="仿宋" w:eastAsia="仿宋" w:cs="仿宋"/>
          <w:sz w:val="32"/>
          <w:szCs w:val="32"/>
          <w:lang w:val="en-US" w:eastAsia="zh-CN"/>
        </w:rPr>
        <w:t>7</w:t>
      </w:r>
      <w:r>
        <w:rPr>
          <w:rFonts w:ascii="仿宋" w:hAnsi="仿宋" w:eastAsia="仿宋" w:cs="仿宋"/>
          <w:sz w:val="32"/>
          <w:szCs w:val="32"/>
        </w:rPr>
        <w:t>月开展了资产清查工作并圆满完成了任务。</w:t>
      </w:r>
      <w:r>
        <w:rPr>
          <w:rFonts w:ascii="Calibri" w:hAnsi="Calibri" w:eastAsia="Calibri" w:cs="Calibri"/>
          <w:sz w:val="32"/>
          <w:szCs w:val="32"/>
        </w:rPr>
        <w:t>①</w:t>
      </w:r>
      <w:r>
        <w:rPr>
          <w:rFonts w:ascii="仿宋" w:hAnsi="仿宋" w:eastAsia="仿宋" w:cs="仿宋"/>
          <w:sz w:val="32"/>
          <w:szCs w:val="32"/>
        </w:rPr>
        <w:t>资产管理信息系统建设情况。已将所有资产全部录入行政事业单位资产管理系统，并指定专人负责管理系统。</w:t>
      </w:r>
      <w:r>
        <w:rPr>
          <w:rFonts w:ascii="Calibri" w:hAnsi="Calibri" w:eastAsia="Calibri" w:cs="Calibri"/>
          <w:sz w:val="32"/>
          <w:szCs w:val="32"/>
        </w:rPr>
        <w:t>②</w:t>
      </w:r>
      <w:r>
        <w:rPr>
          <w:rFonts w:ascii="仿宋" w:hAnsi="仿宋" w:eastAsia="仿宋" w:cs="仿宋"/>
          <w:sz w:val="32"/>
          <w:szCs w:val="32"/>
        </w:rPr>
        <w:t>资产清查情况。成立了资产清查领导小组，</w:t>
      </w:r>
      <w:r>
        <w:rPr>
          <w:rFonts w:ascii="仿宋" w:hAnsi="仿宋" w:eastAsia="仿宋" w:cs="仿宋"/>
          <w:sz w:val="32"/>
          <w:szCs w:val="32"/>
          <w:lang w:eastAsia="zh-CN"/>
        </w:rPr>
        <w:t>中心</w:t>
      </w:r>
      <w:r>
        <w:rPr>
          <w:rFonts w:ascii="仿宋" w:hAnsi="仿宋" w:eastAsia="仿宋" w:cs="仿宋"/>
          <w:sz w:val="32"/>
          <w:szCs w:val="32"/>
        </w:rPr>
        <w:t>主任何川任组长</w:t>
      </w:r>
      <w:r>
        <w:rPr>
          <w:rFonts w:ascii="仿宋" w:hAnsi="仿宋" w:eastAsia="仿宋" w:cs="仿宋"/>
          <w:sz w:val="32"/>
          <w:szCs w:val="32"/>
          <w:lang w:eastAsia="zh-CN"/>
        </w:rPr>
        <w:t>；副主任冉冬梅</w:t>
      </w:r>
      <w:r>
        <w:rPr>
          <w:rFonts w:ascii="仿宋" w:hAnsi="仿宋" w:eastAsia="仿宋" w:cs="仿宋"/>
          <w:sz w:val="32"/>
          <w:szCs w:val="32"/>
        </w:rPr>
        <w:t>任副组长</w:t>
      </w:r>
      <w:r>
        <w:rPr>
          <w:rFonts w:ascii="仿宋" w:hAnsi="仿宋" w:eastAsia="仿宋" w:cs="仿宋"/>
          <w:sz w:val="32"/>
          <w:szCs w:val="32"/>
          <w:lang w:eastAsia="zh-CN"/>
        </w:rPr>
        <w:t>；</w:t>
      </w:r>
      <w:r>
        <w:rPr>
          <w:rFonts w:ascii="仿宋" w:hAnsi="仿宋" w:eastAsia="仿宋" w:cs="仿宋"/>
          <w:sz w:val="32"/>
          <w:szCs w:val="32"/>
        </w:rPr>
        <w:t>单位会计、出纳及资产管理员具体负责资产清查。</w:t>
      </w:r>
      <w:r>
        <w:rPr>
          <w:rFonts w:ascii="Calibri" w:hAnsi="Calibri" w:eastAsia="Calibri" w:cs="Calibri"/>
          <w:sz w:val="32"/>
          <w:szCs w:val="32"/>
        </w:rPr>
        <w:t>③</w:t>
      </w:r>
      <w:r>
        <w:rPr>
          <w:rFonts w:ascii="仿宋" w:hAnsi="仿宋" w:eastAsia="仿宋" w:cs="仿宋"/>
          <w:sz w:val="32"/>
          <w:szCs w:val="32"/>
        </w:rPr>
        <w:t>资产报表上报情况。资产清查结束后，已如期上报清查报表、清查工作报告等国有资产报表数据。</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lang w:val="en-US" w:eastAsia="zh-CN"/>
        </w:rPr>
        <w:t>5</w:t>
      </w:r>
      <w:r>
        <w:rPr>
          <w:rFonts w:ascii="仿宋" w:hAnsi="仿宋" w:eastAsia="仿宋" w:cs="仿宋"/>
          <w:sz w:val="32"/>
          <w:szCs w:val="32"/>
        </w:rPr>
        <w:t>、内控制度管理。为了贯彻落实依法治国基本方略，加强内部权力制约，有效防控廉政风险和行政风险，根据上级财政工作会议有关要求，我单位成立了内控工作小组，制定了完善的内部控制制度体系。</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lang w:val="en-US" w:eastAsia="zh-CN"/>
        </w:rPr>
        <w:t>6</w:t>
      </w:r>
      <w:r>
        <w:rPr>
          <w:rFonts w:ascii="仿宋" w:hAnsi="仿宋" w:eastAsia="仿宋" w:cs="仿宋"/>
          <w:sz w:val="32"/>
          <w:szCs w:val="32"/>
        </w:rPr>
        <w:t>、信息公开。我单位预决算在财政部门批复二十日内向社会公开本部门决算（含所有财政资金安排的“三公”经费、机关运行经费的安排、使用情况等）。</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lang w:val="en-US" w:eastAsia="zh-CN"/>
        </w:rPr>
        <w:t>7</w:t>
      </w:r>
      <w:r>
        <w:rPr>
          <w:rFonts w:ascii="仿宋" w:hAnsi="仿宋" w:eastAsia="仿宋" w:cs="仿宋"/>
          <w:sz w:val="32"/>
          <w:szCs w:val="32"/>
        </w:rPr>
        <w:t>、绩效管理。按照财政文件要求对本单位开展整体绩效评价，按要求向财政部门报送自评报告等相关绩效信息。</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lang w:val="en-US" w:eastAsia="zh-CN"/>
        </w:rPr>
        <w:t>8、</w:t>
      </w:r>
      <w:r>
        <w:rPr>
          <w:rFonts w:ascii="仿宋" w:hAnsi="仿宋" w:eastAsia="仿宋" w:cs="仿宋"/>
          <w:sz w:val="32"/>
          <w:szCs w:val="32"/>
        </w:rPr>
        <w:t>依法接受财政监督情况。按照财政部门相关要求，开展了20</w:t>
      </w:r>
      <w:r>
        <w:rPr>
          <w:rFonts w:ascii="仿宋" w:hAnsi="仿宋" w:eastAsia="仿宋" w:cs="仿宋"/>
          <w:sz w:val="32"/>
          <w:szCs w:val="32"/>
          <w:lang w:val="en-US" w:eastAsia="zh-CN"/>
        </w:rPr>
        <w:t>20</w:t>
      </w:r>
      <w:r>
        <w:rPr>
          <w:rFonts w:ascii="仿宋" w:hAnsi="仿宋" w:eastAsia="仿宋" w:cs="仿宋"/>
          <w:sz w:val="32"/>
          <w:szCs w:val="32"/>
        </w:rPr>
        <w:t>年度财政监督检查的自查自纠工作，并报送了自查自纠报告及报表。</w:t>
      </w:r>
    </w:p>
    <w:p>
      <w:pPr>
        <w:keepNext w:val="0"/>
        <w:keepLines w:val="0"/>
        <w:pageBreakBefore w:val="0"/>
        <w:kinsoku/>
        <w:overflowPunct/>
        <w:bidi w:val="0"/>
        <w:spacing w:line="578" w:lineRule="exact"/>
        <w:textAlignment w:val="auto"/>
        <w:rPr>
          <w:rFonts w:ascii="仿宋" w:hAnsi="仿宋" w:eastAsia="仿宋" w:cs="仿宋"/>
          <w:sz w:val="32"/>
          <w:szCs w:val="32"/>
          <w:lang w:val="en-US" w:eastAsia="zh-CN"/>
        </w:rPr>
      </w:pPr>
      <w:r>
        <w:rPr>
          <w:rFonts w:ascii="仿宋" w:hAnsi="仿宋" w:eastAsia="仿宋" w:cs="仿宋"/>
          <w:sz w:val="32"/>
          <w:szCs w:val="32"/>
          <w:lang w:val="en-US" w:eastAsia="zh-CN"/>
        </w:rPr>
        <w:t>（四）绩效结果应用情况</w:t>
      </w:r>
    </w:p>
    <w:p>
      <w:pPr>
        <w:keepNext w:val="0"/>
        <w:keepLines w:val="0"/>
        <w:pageBreakBefore w:val="0"/>
        <w:kinsoku/>
        <w:overflowPunct/>
        <w:bidi w:val="0"/>
        <w:spacing w:line="578" w:lineRule="exact"/>
        <w:textAlignment w:val="auto"/>
        <w:rPr>
          <w:rFonts w:ascii="仿宋" w:hAnsi="仿宋" w:eastAsia="仿宋" w:cs="仿宋"/>
          <w:sz w:val="32"/>
          <w:szCs w:val="32"/>
          <w:lang w:val="en-US" w:eastAsia="zh-CN"/>
        </w:rPr>
      </w:pPr>
      <w:r>
        <w:rPr>
          <w:rFonts w:ascii="仿宋" w:hAnsi="仿宋" w:eastAsia="仿宋" w:cs="仿宋"/>
          <w:sz w:val="32"/>
          <w:szCs w:val="32"/>
          <w:lang w:val="en-US" w:eastAsia="zh-CN"/>
        </w:rPr>
        <w:t>自评准确，绩效目标、自评公开。</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lang w:val="en-US" w:eastAsia="zh-CN"/>
        </w:rPr>
        <w:t>（五）</w:t>
      </w:r>
      <w:r>
        <w:rPr>
          <w:rFonts w:ascii="仿宋" w:hAnsi="仿宋" w:eastAsia="仿宋" w:cs="仿宋"/>
          <w:sz w:val="32"/>
          <w:szCs w:val="32"/>
        </w:rPr>
        <w:t>整体效益</w:t>
      </w:r>
    </w:p>
    <w:p>
      <w:pPr>
        <w:keepNext w:val="0"/>
        <w:keepLines w:val="0"/>
        <w:pageBreakBefore w:val="0"/>
        <w:kinsoku/>
        <w:overflowPunct/>
        <w:bidi w:val="0"/>
        <w:spacing w:line="578" w:lineRule="exact"/>
        <w:textAlignment w:val="auto"/>
        <w:rPr>
          <w:rFonts w:ascii="仿宋" w:hAnsi="仿宋" w:eastAsia="仿宋" w:cs="仿宋"/>
          <w:sz w:val="32"/>
          <w:szCs w:val="32"/>
          <w:lang w:eastAsia="zh-CN"/>
        </w:rPr>
      </w:pPr>
      <w:r>
        <w:rPr>
          <w:rFonts w:eastAsia="方正仿宋_GBK" w:cs="Times New Roman"/>
          <w:sz w:val="32"/>
          <w:szCs w:val="32"/>
        </w:rPr>
        <w:t>20</w:t>
      </w:r>
      <w:r>
        <w:rPr>
          <w:rFonts w:eastAsia="方正仿宋_GBK" w:cs="Times New Roman"/>
          <w:sz w:val="32"/>
          <w:szCs w:val="32"/>
          <w:lang w:val="en-US" w:eastAsia="zh-CN"/>
        </w:rPr>
        <w:t>20</w:t>
      </w:r>
      <w:r>
        <w:rPr>
          <w:rFonts w:eastAsia="方正仿宋_GBK" w:cs="Times New Roman"/>
          <w:sz w:val="32"/>
          <w:szCs w:val="32"/>
        </w:rPr>
        <w:t>年，我</w:t>
      </w:r>
      <w:r>
        <w:rPr>
          <w:rFonts w:eastAsia="方正仿宋_GBK" w:cs="Times New Roman"/>
          <w:sz w:val="32"/>
          <w:szCs w:val="32"/>
          <w:lang w:eastAsia="zh-CN"/>
        </w:rPr>
        <w:t>中心</w:t>
      </w:r>
      <w:r>
        <w:rPr>
          <w:rFonts w:eastAsia="方正仿宋_GBK" w:cs="Times New Roman"/>
          <w:sz w:val="32"/>
          <w:szCs w:val="32"/>
        </w:rPr>
        <w:t>以“各项工作争一流、多项工作争第一”的工作格调，以“开年即冲刺，起步即快跑”的工作姿态统揽各项工作，以全域实施“五治”工程为重点，着力提升城市管理水平，大力推进农村</w:t>
      </w:r>
      <w:r>
        <w:rPr>
          <w:rFonts w:eastAsia="方正仿宋_GBK" w:cs="Times New Roman"/>
          <w:sz w:val="32"/>
          <w:szCs w:val="32"/>
          <w:lang w:eastAsia="zh-CN"/>
        </w:rPr>
        <w:t>人居</w:t>
      </w:r>
      <w:r>
        <w:rPr>
          <w:rFonts w:eastAsia="方正仿宋_GBK" w:cs="Times New Roman"/>
          <w:sz w:val="32"/>
          <w:szCs w:val="32"/>
        </w:rPr>
        <w:t>环境</w:t>
      </w:r>
      <w:r>
        <w:rPr>
          <w:rFonts w:eastAsia="方正仿宋_GBK" w:cs="Times New Roman"/>
          <w:sz w:val="32"/>
          <w:szCs w:val="32"/>
          <w:lang w:eastAsia="zh-CN"/>
        </w:rPr>
        <w:t>、农村生活污水处理、铁路沿线环境、普速铁路安全隐患</w:t>
      </w:r>
      <w:r>
        <w:rPr>
          <w:rFonts w:eastAsia="方正仿宋_GBK" w:cs="Times New Roman"/>
          <w:sz w:val="32"/>
          <w:szCs w:val="32"/>
        </w:rPr>
        <w:t>整治</w:t>
      </w:r>
      <w:r>
        <w:rPr>
          <w:rFonts w:eastAsia="方正仿宋_GBK" w:cs="Times New Roman"/>
          <w:sz w:val="32"/>
          <w:szCs w:val="32"/>
          <w:lang w:eastAsia="zh-CN"/>
        </w:rPr>
        <w:t>等</w:t>
      </w:r>
      <w:r>
        <w:rPr>
          <w:rFonts w:eastAsia="方正仿宋_GBK" w:cs="Times New Roman"/>
          <w:sz w:val="32"/>
          <w:szCs w:val="32"/>
        </w:rPr>
        <w:t>，全区城乡环境卫生秩序明显改善，人居环境显著提升，城乡环境综合治理工作取得了阶段性成效。</w:t>
      </w:r>
      <w:r>
        <w:rPr>
          <w:rFonts w:ascii="仿宋" w:hAnsi="仿宋" w:eastAsia="仿宋" w:cs="仿宋"/>
          <w:sz w:val="32"/>
          <w:szCs w:val="32"/>
        </w:rPr>
        <w:t>为确保实现全区目标任务的圆满完成奠定了坚实的基础，较好地完成了区委、区政府赋予的各项工作任务。我</w:t>
      </w:r>
      <w:r>
        <w:rPr>
          <w:rFonts w:ascii="仿宋" w:hAnsi="仿宋" w:eastAsia="仿宋" w:cs="仿宋"/>
          <w:sz w:val="32"/>
          <w:szCs w:val="32"/>
          <w:lang w:eastAsia="zh-CN"/>
        </w:rPr>
        <w:t>中心</w:t>
      </w:r>
      <w:r>
        <w:rPr>
          <w:rFonts w:ascii="仿宋" w:hAnsi="仿宋" w:eastAsia="仿宋" w:cs="仿宋"/>
          <w:sz w:val="32"/>
          <w:szCs w:val="32"/>
        </w:rPr>
        <w:t>按照</w:t>
      </w:r>
      <w:r>
        <w:rPr>
          <w:rFonts w:ascii="仿宋" w:hAnsi="仿宋" w:eastAsia="仿宋" w:cs="仿宋"/>
          <w:sz w:val="32"/>
          <w:szCs w:val="32"/>
          <w:lang w:eastAsia="zh-CN"/>
        </w:rPr>
        <w:t>区委政府和上级主管部门的</w:t>
      </w:r>
      <w:r>
        <w:rPr>
          <w:rFonts w:ascii="仿宋" w:hAnsi="仿宋" w:eastAsia="仿宋" w:cs="仿宋"/>
          <w:sz w:val="32"/>
          <w:szCs w:val="32"/>
        </w:rPr>
        <w:t>工作要求，按照</w:t>
      </w:r>
      <w:r>
        <w:rPr>
          <w:rFonts w:ascii="仿宋" w:hAnsi="仿宋" w:eastAsia="仿宋" w:cs="仿宋"/>
          <w:sz w:val="32"/>
          <w:szCs w:val="32"/>
          <w:lang w:eastAsia="zh-CN"/>
        </w:rPr>
        <w:t>财政</w:t>
      </w:r>
      <w:r>
        <w:rPr>
          <w:rFonts w:ascii="仿宋" w:hAnsi="仿宋" w:eastAsia="仿宋" w:cs="仿宋"/>
          <w:sz w:val="32"/>
          <w:szCs w:val="32"/>
        </w:rPr>
        <w:t>资金管理制度的要求，厉行节约，合理使用，从经济效益、社会效益、生态效益指标出发，尽量做到工作零失误，确保财政资金发挥到最佳效益，尽可能地保证部门整体支出绩效的最大化。</w:t>
      </w:r>
    </w:p>
    <w:p>
      <w:pPr>
        <w:pStyle w:val="16"/>
        <w:keepNext w:val="0"/>
        <w:keepLines w:val="0"/>
        <w:pageBreakBefore w:val="0"/>
        <w:widowControl/>
        <w:kinsoku/>
        <w:overflowPunct/>
        <w:bidi w:val="0"/>
        <w:spacing w:beforeLines="0" w:beforeAutospacing="0" w:afterLines="0" w:afterAutospacing="0" w:line="578" w:lineRule="exact"/>
        <w:textAlignment w:val="auto"/>
        <w:rPr>
          <w:rFonts w:ascii="黑体" w:hAnsi="黑体" w:eastAsia="黑体" w:cs="黑体"/>
          <w:sz w:val="32"/>
          <w:szCs w:val="32"/>
        </w:rPr>
      </w:pPr>
      <w:r>
        <w:rPr>
          <w:rFonts w:ascii="黑体" w:hAnsi="黑体" w:eastAsia="黑体" w:cs="黑体"/>
          <w:sz w:val="32"/>
          <w:szCs w:val="32"/>
        </w:rPr>
        <w:t>四、评</w:t>
      </w:r>
      <w:r>
        <w:rPr>
          <w:rFonts w:ascii="黑体" w:hAnsi="黑体" w:eastAsia="黑体" w:cs="黑体"/>
          <w:sz w:val="32"/>
          <w:szCs w:val="32"/>
          <w:lang w:eastAsia="zh-CN"/>
        </w:rPr>
        <w:t>价</w:t>
      </w:r>
      <w:r>
        <w:rPr>
          <w:rFonts w:ascii="黑体" w:hAnsi="黑体" w:eastAsia="黑体" w:cs="黑体"/>
          <w:sz w:val="32"/>
          <w:szCs w:val="32"/>
        </w:rPr>
        <w:t>结论及建议</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（一）评价结论。</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总体看，我单位预算编制及执行决算较为准确，支出管理较为规范，财务管理制度较完善，部门整体绩效较好。</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（二）存在问题。</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1、预算编制方面无问题。</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 xml:space="preserve">2、政府采购方面无问题。                                                                                                                                                                                                                                                                                                                                                                                                                                                                                                                                                                                                                                                                                                                                                                                                                                                                                                                                                                                                                                                                                                                                                                                                                                                                                                                                                                                                                                                                                                                                                                                                                                                                                                                                                                                                                                                                                                                                                                                                                                                                                                                                                                                                                                                                                                                                                                                                                                                                                                                                                                                                                                                                                                                                                                                                                                                                                                                                                                                                                                                                                                                                                                                                                                                                                                                                                                                                                                                                                                                                                                                                                                                                                                                                                                                                                                                                                                                                                                                                                                                                                                                                                                                                    </w:t>
      </w:r>
      <w:r>
        <w:rPr>
          <w:rFonts w:ascii="仿宋" w:hAnsi="仿宋" w:eastAsia="仿宋" w:cs="仿宋"/>
          <w:sz w:val="32"/>
          <w:szCs w:val="32"/>
        </w:rPr>
        <w:t xml:space="preserve">                                                                                                                                                                                                                                                                                                                                                                                                                                                                                                                                                                                                                                                                                                                                                                                                                                                                                                                                                                                                                                                                                                                                                                                                                                                                                                                                                                                                                                                                                                                                                                                                                                                                                                                                                                                                                                                                                                                                                                                                                                                                                                                                                                                                                                                                                                                                                                                                                                                                                                                                                                                                                                                                                                                                                                                                                                                                                                                                                                                                                                                                                                                                                                                                                                                                                                                                                                                                                                                                                                                                                                                                                                                                                                                                                                                                                                                                                                               </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 xml:space="preserve">3、资产管理方面无问题。 </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4、财务管理及会计核算方面。相关财务制度</w:t>
      </w:r>
      <w:r>
        <w:rPr>
          <w:rFonts w:ascii="仿宋" w:hAnsi="仿宋" w:eastAsia="仿宋" w:cs="仿宋"/>
          <w:sz w:val="32"/>
          <w:szCs w:val="32"/>
          <w:lang w:eastAsia="zh-CN"/>
        </w:rPr>
        <w:t>需要</w:t>
      </w:r>
      <w:r>
        <w:rPr>
          <w:rFonts w:ascii="仿宋" w:hAnsi="仿宋" w:eastAsia="仿宋" w:cs="仿宋"/>
          <w:sz w:val="32"/>
          <w:szCs w:val="32"/>
        </w:rPr>
        <w:t>更健全细化。</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5、人员管理方面无问题。</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（三）改进</w:t>
      </w:r>
      <w:r>
        <w:rPr>
          <w:rFonts w:ascii="仿宋" w:hAnsi="仿宋" w:eastAsia="仿宋" w:cs="仿宋"/>
          <w:sz w:val="32"/>
          <w:szCs w:val="32"/>
          <w:lang w:eastAsia="zh-CN"/>
        </w:rPr>
        <w:t>建议</w:t>
      </w:r>
      <w:r>
        <w:rPr>
          <w:rFonts w:ascii="仿宋" w:hAnsi="仿宋" w:eastAsia="仿宋" w:cs="仿宋"/>
          <w:sz w:val="32"/>
          <w:szCs w:val="32"/>
        </w:rPr>
        <w:t>。</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1、提高预算编制质量。</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2、严格执行政府采购。</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3、加强资产管理。</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4、强化资金财务管理。一是按月编制用款计划，优先保工资保运转。二是严把资金支付审核关，严格检查入账发票的合理性和准确性，核实原始凭证的完整性。</w:t>
      </w:r>
    </w:p>
    <w:p>
      <w:pPr>
        <w:keepNext w:val="0"/>
        <w:keepLines w:val="0"/>
        <w:pageBreakBefore w:val="0"/>
        <w:kinsoku/>
        <w:overflowPunct/>
        <w:bidi w:val="0"/>
        <w:spacing w:line="578" w:lineRule="exact"/>
        <w:textAlignment w:val="auto"/>
        <w:rPr>
          <w:rFonts w:ascii="仿宋" w:hAnsi="仿宋" w:eastAsia="仿宋" w:cs="仿宋"/>
          <w:sz w:val="32"/>
          <w:szCs w:val="32"/>
        </w:rPr>
      </w:pPr>
      <w:r>
        <w:rPr>
          <w:rFonts w:ascii="仿宋" w:hAnsi="仿宋" w:eastAsia="仿宋" w:cs="仿宋"/>
          <w:sz w:val="32"/>
          <w:szCs w:val="32"/>
        </w:rPr>
        <w:t>5、加强人员管理。</w:t>
      </w:r>
    </w:p>
    <w:p>
      <w:pPr>
        <w:spacing w:line="580" w:lineRule="exact"/>
        <w:rPr>
          <w:rFonts w:ascii="仿宋_GB2312;仿宋" w:hAnsi="仿宋_GB2312;仿宋" w:eastAsia="仿宋_GB2312;仿宋" w:cs="仿宋_GB2312;仿宋"/>
          <w:sz w:val="32"/>
          <w:szCs w:val="32"/>
        </w:rPr>
      </w:pPr>
    </w:p>
    <w:p>
      <w:pPr>
        <w:spacing w:line="580" w:lineRule="exact"/>
        <w:rPr>
          <w:rFonts w:ascii="仿宋_GB2312;仿宋" w:hAnsi="仿宋_GB2312;仿宋" w:eastAsia="仿宋_GB2312;仿宋" w:cs="仿宋_GB2312;仿宋"/>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widowControl/>
        <w:jc w:val="center"/>
        <w:rPr>
          <w:rStyle w:val="12"/>
          <w:rFonts w:ascii="黑体" w:hAnsi="黑体" w:eastAsia="黑体" w:cs="黑体"/>
          <w:b w:val="0"/>
        </w:rPr>
      </w:pPr>
      <w:r>
        <w:rPr>
          <w:rFonts w:ascii="黑体" w:hAnsi="黑体" w:eastAsia="黑体" w:cs="黑体"/>
          <w:color w:val="000000"/>
          <w:sz w:val="44"/>
          <w:szCs w:val="44"/>
        </w:rPr>
        <w:t>第</w:t>
      </w:r>
      <w:r>
        <w:rPr>
          <w:rStyle w:val="12"/>
          <w:rFonts w:ascii="黑体" w:hAnsi="黑体" w:eastAsia="黑体" w:cs="黑体"/>
          <w:b w:val="0"/>
        </w:rPr>
        <w:t>五部分 附表</w:t>
      </w:r>
    </w:p>
    <w:p>
      <w:pPr>
        <w:numPr>
          <w:ilvl w:val="0"/>
          <w:numId w:val="0"/>
        </w:numPr>
        <w:spacing w:line="600" w:lineRule="exact"/>
        <w:jc w:val="center"/>
        <w:outlineLvl w:val="0"/>
        <w:rPr>
          <w:rStyle w:val="12"/>
          <w:rFonts w:ascii="仿宋" w:hAnsi="仿宋" w:eastAsia="仿宋" w:cs="仿宋"/>
          <w:b/>
          <w:color w:val="000000"/>
          <w:sz w:val="44"/>
          <w:szCs w:val="44"/>
        </w:rPr>
      </w:pPr>
    </w:p>
    <w:p>
      <w:pPr>
        <w:pStyle w:val="3"/>
        <w:keepNext/>
        <w:keepLines/>
        <w:pageBreakBefore w:val="0"/>
        <w:widowControl w:val="0"/>
        <w:kinsoku/>
        <w:overflowPunct/>
        <w:bidi w:val="0"/>
        <w:snapToGrid/>
        <w:spacing w:line="300" w:lineRule="exact"/>
        <w:textAlignment w:val="auto"/>
        <w:outlineLvl w:val="1"/>
        <w:rPr>
          <w:rFonts w:ascii="仿宋" w:hAnsi="仿宋" w:eastAsia="仿宋" w:cs="仿宋"/>
          <w:color w:val="000000"/>
        </w:rPr>
      </w:pPr>
      <w:r>
        <w:rPr>
          <w:rFonts w:ascii="仿宋" w:hAnsi="仿宋" w:eastAsia="仿宋" w:cs="仿宋"/>
          <w:b w:val="0"/>
          <w:color w:val="000000"/>
        </w:rPr>
        <w:t>一、收</w:t>
      </w:r>
      <w:r>
        <w:rPr>
          <w:rStyle w:val="13"/>
          <w:rFonts w:ascii="仿宋" w:hAnsi="仿宋" w:eastAsia="仿宋" w:cs="仿宋"/>
          <w:b w:val="0"/>
          <w:bCs w:val="0"/>
        </w:rPr>
        <w:t>入支出决算总表</w:t>
      </w:r>
    </w:p>
    <w:p>
      <w:pPr>
        <w:pStyle w:val="3"/>
        <w:keepNext/>
        <w:keepLines/>
        <w:pageBreakBefore w:val="0"/>
        <w:widowControl w:val="0"/>
        <w:kinsoku/>
        <w:overflowPunct/>
        <w:bidi w:val="0"/>
        <w:snapToGrid/>
        <w:spacing w:line="300" w:lineRule="exact"/>
        <w:textAlignment w:val="auto"/>
        <w:outlineLvl w:val="1"/>
        <w:rPr>
          <w:rFonts w:ascii="仿宋" w:hAnsi="仿宋" w:eastAsia="仿宋" w:cs="仿宋"/>
          <w:color w:val="000000"/>
        </w:rPr>
      </w:pPr>
      <w:r>
        <w:rPr>
          <w:rFonts w:ascii="仿宋" w:hAnsi="仿宋" w:eastAsia="仿宋" w:cs="仿宋"/>
          <w:b w:val="0"/>
          <w:color w:val="000000"/>
        </w:rPr>
        <w:t>二、收</w:t>
      </w:r>
      <w:r>
        <w:rPr>
          <w:rStyle w:val="13"/>
          <w:rFonts w:ascii="仿宋" w:hAnsi="仿宋" w:eastAsia="仿宋" w:cs="仿宋"/>
          <w:b w:val="0"/>
          <w:bCs w:val="0"/>
        </w:rPr>
        <w:t>入决算表</w:t>
      </w:r>
    </w:p>
    <w:p>
      <w:pPr>
        <w:pStyle w:val="3"/>
        <w:keepNext/>
        <w:keepLines/>
        <w:pageBreakBefore w:val="0"/>
        <w:widowControl w:val="0"/>
        <w:kinsoku/>
        <w:overflowPunct/>
        <w:bidi w:val="0"/>
        <w:snapToGrid/>
        <w:spacing w:line="300" w:lineRule="exact"/>
        <w:textAlignment w:val="auto"/>
        <w:outlineLvl w:val="1"/>
        <w:rPr>
          <w:rFonts w:ascii="仿宋" w:hAnsi="仿宋" w:eastAsia="仿宋" w:cs="仿宋"/>
          <w:color w:val="000000"/>
        </w:rPr>
      </w:pPr>
      <w:r>
        <w:rPr>
          <w:rStyle w:val="13"/>
          <w:rFonts w:ascii="仿宋" w:hAnsi="仿宋" w:eastAsia="仿宋" w:cs="仿宋"/>
          <w:b w:val="0"/>
          <w:bCs w:val="0"/>
        </w:rPr>
        <w:t>三、</w:t>
      </w:r>
      <w:r>
        <w:rPr>
          <w:rFonts w:ascii="仿宋" w:hAnsi="仿宋" w:eastAsia="仿宋" w:cs="仿宋"/>
          <w:b w:val="0"/>
          <w:color w:val="000000"/>
        </w:rPr>
        <w:t>支</w:t>
      </w:r>
      <w:r>
        <w:rPr>
          <w:rStyle w:val="13"/>
          <w:rFonts w:ascii="仿宋" w:hAnsi="仿宋" w:eastAsia="仿宋" w:cs="仿宋"/>
          <w:b w:val="0"/>
          <w:bCs w:val="0"/>
        </w:rPr>
        <w:t>出决算表</w:t>
      </w:r>
    </w:p>
    <w:p>
      <w:pPr>
        <w:pStyle w:val="3"/>
        <w:keepNext/>
        <w:keepLines/>
        <w:pageBreakBefore w:val="0"/>
        <w:widowControl w:val="0"/>
        <w:kinsoku/>
        <w:overflowPunct/>
        <w:bidi w:val="0"/>
        <w:snapToGrid/>
        <w:spacing w:line="300" w:lineRule="exact"/>
        <w:textAlignment w:val="auto"/>
        <w:outlineLvl w:val="1"/>
        <w:rPr>
          <w:rFonts w:ascii="仿宋" w:hAnsi="仿宋" w:eastAsia="仿宋" w:cs="仿宋"/>
          <w:b w:val="0"/>
          <w:color w:val="000000"/>
        </w:rPr>
      </w:pPr>
      <w:r>
        <w:rPr>
          <w:rStyle w:val="13"/>
          <w:rFonts w:ascii="仿宋" w:hAnsi="仿宋" w:eastAsia="仿宋" w:cs="仿宋"/>
          <w:b w:val="0"/>
          <w:bCs w:val="0"/>
        </w:rPr>
        <w:t>四、</w:t>
      </w:r>
      <w:r>
        <w:rPr>
          <w:rFonts w:ascii="仿宋" w:hAnsi="仿宋" w:eastAsia="仿宋" w:cs="仿宋"/>
          <w:b w:val="0"/>
          <w:color w:val="000000"/>
        </w:rPr>
        <w:t>财</w:t>
      </w:r>
      <w:r>
        <w:rPr>
          <w:rStyle w:val="13"/>
          <w:rFonts w:ascii="仿宋" w:hAnsi="仿宋" w:eastAsia="仿宋" w:cs="仿宋"/>
          <w:b w:val="0"/>
          <w:bCs w:val="0"/>
        </w:rPr>
        <w:t>政拨款收入支出决算总表</w:t>
      </w:r>
    </w:p>
    <w:p>
      <w:pPr>
        <w:pStyle w:val="3"/>
        <w:keepNext/>
        <w:keepLines/>
        <w:pageBreakBefore w:val="0"/>
        <w:widowControl w:val="0"/>
        <w:kinsoku/>
        <w:overflowPunct/>
        <w:bidi w:val="0"/>
        <w:snapToGrid/>
        <w:spacing w:line="300" w:lineRule="exact"/>
        <w:textAlignment w:val="auto"/>
        <w:outlineLvl w:val="1"/>
        <w:rPr>
          <w:rStyle w:val="13"/>
          <w:rFonts w:ascii="仿宋" w:hAnsi="仿宋" w:eastAsia="仿宋" w:cs="仿宋"/>
          <w:b w:val="0"/>
          <w:bCs w:val="0"/>
        </w:rPr>
      </w:pPr>
      <w:r>
        <w:rPr>
          <w:rStyle w:val="13"/>
          <w:rFonts w:ascii="仿宋" w:hAnsi="仿宋" w:eastAsia="仿宋" w:cs="仿宋"/>
          <w:b w:val="0"/>
          <w:bCs w:val="0"/>
        </w:rPr>
        <w:t>五、</w:t>
      </w:r>
      <w:r>
        <w:rPr>
          <w:rFonts w:ascii="仿宋" w:hAnsi="仿宋" w:eastAsia="仿宋" w:cs="仿宋"/>
          <w:b w:val="0"/>
          <w:color w:val="000000"/>
        </w:rPr>
        <w:t>财</w:t>
      </w:r>
      <w:r>
        <w:rPr>
          <w:rStyle w:val="13"/>
          <w:rFonts w:ascii="仿宋" w:hAnsi="仿宋" w:eastAsia="仿宋" w:cs="仿宋"/>
          <w:b w:val="0"/>
          <w:bCs w:val="0"/>
        </w:rPr>
        <w:t>政拨款支出决算明细表</w:t>
      </w:r>
    </w:p>
    <w:p>
      <w:pPr>
        <w:pStyle w:val="3"/>
        <w:keepNext/>
        <w:keepLines/>
        <w:pageBreakBefore w:val="0"/>
        <w:widowControl w:val="0"/>
        <w:kinsoku/>
        <w:overflowPunct/>
        <w:bidi w:val="0"/>
        <w:snapToGrid/>
        <w:spacing w:line="300" w:lineRule="exact"/>
        <w:textAlignment w:val="auto"/>
        <w:outlineLvl w:val="1"/>
        <w:rPr>
          <w:rFonts w:ascii="仿宋" w:hAnsi="仿宋" w:eastAsia="仿宋" w:cs="仿宋"/>
          <w:color w:val="000000"/>
        </w:rPr>
      </w:pPr>
      <w:r>
        <w:rPr>
          <w:rStyle w:val="13"/>
          <w:rFonts w:ascii="仿宋" w:hAnsi="仿宋" w:eastAsia="仿宋" w:cs="仿宋"/>
          <w:b w:val="0"/>
          <w:bCs w:val="0"/>
        </w:rPr>
        <w:t>六、</w:t>
      </w:r>
      <w:r>
        <w:rPr>
          <w:rFonts w:ascii="仿宋" w:hAnsi="仿宋" w:eastAsia="仿宋" w:cs="仿宋"/>
          <w:b w:val="0"/>
          <w:color w:val="000000"/>
        </w:rPr>
        <w:t>一</w:t>
      </w:r>
      <w:r>
        <w:rPr>
          <w:rStyle w:val="13"/>
          <w:rFonts w:ascii="仿宋" w:hAnsi="仿宋" w:eastAsia="仿宋" w:cs="仿宋"/>
          <w:b w:val="0"/>
          <w:bCs w:val="0"/>
        </w:rPr>
        <w:t>般公共预算财政拨款支出决算表</w:t>
      </w:r>
    </w:p>
    <w:p>
      <w:pPr>
        <w:pStyle w:val="3"/>
        <w:keepNext/>
        <w:keepLines/>
        <w:pageBreakBefore w:val="0"/>
        <w:widowControl w:val="0"/>
        <w:kinsoku/>
        <w:overflowPunct/>
        <w:bidi w:val="0"/>
        <w:snapToGrid/>
        <w:spacing w:line="300" w:lineRule="exact"/>
        <w:textAlignment w:val="auto"/>
        <w:outlineLvl w:val="1"/>
        <w:rPr>
          <w:rFonts w:ascii="仿宋" w:hAnsi="仿宋" w:eastAsia="仿宋" w:cs="仿宋"/>
          <w:color w:val="000000"/>
        </w:rPr>
      </w:pPr>
      <w:r>
        <w:rPr>
          <w:rStyle w:val="13"/>
          <w:rFonts w:ascii="仿宋" w:hAnsi="仿宋" w:eastAsia="仿宋" w:cs="仿宋"/>
          <w:b w:val="0"/>
          <w:bCs w:val="0"/>
        </w:rPr>
        <w:t>七、</w:t>
      </w:r>
      <w:r>
        <w:rPr>
          <w:rFonts w:ascii="仿宋" w:hAnsi="仿宋" w:eastAsia="仿宋" w:cs="仿宋"/>
          <w:b w:val="0"/>
          <w:color w:val="000000"/>
        </w:rPr>
        <w:t>一</w:t>
      </w:r>
      <w:r>
        <w:rPr>
          <w:rStyle w:val="13"/>
          <w:rFonts w:ascii="仿宋" w:hAnsi="仿宋" w:eastAsia="仿宋" w:cs="仿宋"/>
          <w:b w:val="0"/>
          <w:bCs w:val="0"/>
        </w:rPr>
        <w:t>般公共预算财政拨款支出决算明细表</w:t>
      </w:r>
    </w:p>
    <w:p>
      <w:pPr>
        <w:pStyle w:val="3"/>
        <w:keepNext/>
        <w:keepLines/>
        <w:pageBreakBefore w:val="0"/>
        <w:widowControl w:val="0"/>
        <w:kinsoku/>
        <w:overflowPunct/>
        <w:bidi w:val="0"/>
        <w:snapToGrid/>
        <w:spacing w:line="300" w:lineRule="exact"/>
        <w:textAlignment w:val="auto"/>
        <w:outlineLvl w:val="1"/>
        <w:rPr>
          <w:rFonts w:ascii="仿宋" w:hAnsi="仿宋" w:eastAsia="仿宋" w:cs="仿宋"/>
          <w:color w:val="000000"/>
        </w:rPr>
      </w:pPr>
      <w:r>
        <w:rPr>
          <w:rStyle w:val="13"/>
          <w:rFonts w:ascii="仿宋" w:hAnsi="仿宋" w:eastAsia="仿宋" w:cs="仿宋"/>
          <w:b w:val="0"/>
          <w:bCs w:val="0"/>
        </w:rPr>
        <w:t>八、</w:t>
      </w:r>
      <w:r>
        <w:rPr>
          <w:rFonts w:ascii="仿宋" w:hAnsi="仿宋" w:eastAsia="仿宋" w:cs="仿宋"/>
          <w:b w:val="0"/>
          <w:color w:val="000000"/>
        </w:rPr>
        <w:t>一</w:t>
      </w:r>
      <w:r>
        <w:rPr>
          <w:rStyle w:val="13"/>
          <w:rFonts w:ascii="仿宋" w:hAnsi="仿宋" w:eastAsia="仿宋" w:cs="仿宋"/>
          <w:b w:val="0"/>
          <w:bCs w:val="0"/>
        </w:rPr>
        <w:t>般公共预算财政拨款基本支出决算表</w:t>
      </w:r>
    </w:p>
    <w:p>
      <w:pPr>
        <w:pStyle w:val="3"/>
        <w:keepNext/>
        <w:keepLines/>
        <w:pageBreakBefore w:val="0"/>
        <w:widowControl w:val="0"/>
        <w:kinsoku/>
        <w:overflowPunct/>
        <w:bidi w:val="0"/>
        <w:snapToGrid/>
        <w:spacing w:line="300" w:lineRule="exact"/>
        <w:textAlignment w:val="auto"/>
        <w:outlineLvl w:val="1"/>
        <w:rPr>
          <w:rFonts w:ascii="仿宋" w:hAnsi="仿宋" w:eastAsia="仿宋" w:cs="仿宋"/>
          <w:color w:val="000000"/>
        </w:rPr>
      </w:pPr>
      <w:r>
        <w:rPr>
          <w:rStyle w:val="13"/>
          <w:rFonts w:ascii="仿宋" w:hAnsi="仿宋" w:eastAsia="仿宋" w:cs="仿宋"/>
          <w:b w:val="0"/>
          <w:bCs w:val="0"/>
        </w:rPr>
        <w:t>九、</w:t>
      </w:r>
      <w:r>
        <w:rPr>
          <w:rFonts w:ascii="仿宋" w:hAnsi="仿宋" w:eastAsia="仿宋" w:cs="仿宋"/>
          <w:b w:val="0"/>
          <w:color w:val="000000"/>
        </w:rPr>
        <w:t>一</w:t>
      </w:r>
      <w:r>
        <w:rPr>
          <w:rStyle w:val="13"/>
          <w:rFonts w:ascii="仿宋" w:hAnsi="仿宋" w:eastAsia="仿宋" w:cs="仿宋"/>
          <w:b w:val="0"/>
          <w:bCs w:val="0"/>
        </w:rPr>
        <w:t>般公共预算财政拨款项目支出决算表</w:t>
      </w:r>
    </w:p>
    <w:p>
      <w:pPr>
        <w:pStyle w:val="3"/>
        <w:keepNext/>
        <w:keepLines/>
        <w:pageBreakBefore w:val="0"/>
        <w:widowControl w:val="0"/>
        <w:kinsoku/>
        <w:overflowPunct/>
        <w:bidi w:val="0"/>
        <w:snapToGrid/>
        <w:spacing w:line="300" w:lineRule="exact"/>
        <w:textAlignment w:val="auto"/>
        <w:outlineLvl w:val="1"/>
        <w:rPr>
          <w:rFonts w:ascii="仿宋" w:hAnsi="仿宋" w:eastAsia="仿宋" w:cs="仿宋"/>
          <w:color w:val="000000"/>
        </w:rPr>
      </w:pPr>
      <w:r>
        <w:rPr>
          <w:rStyle w:val="13"/>
          <w:rFonts w:ascii="仿宋" w:hAnsi="仿宋" w:eastAsia="仿宋" w:cs="仿宋"/>
          <w:b w:val="0"/>
          <w:bCs w:val="0"/>
        </w:rPr>
        <w:t>十、</w:t>
      </w:r>
      <w:r>
        <w:rPr>
          <w:rFonts w:ascii="仿宋" w:hAnsi="仿宋" w:eastAsia="仿宋" w:cs="仿宋"/>
          <w:b w:val="0"/>
          <w:color w:val="000000"/>
        </w:rPr>
        <w:t>一</w:t>
      </w:r>
      <w:r>
        <w:rPr>
          <w:rStyle w:val="13"/>
          <w:rFonts w:ascii="仿宋" w:hAnsi="仿宋" w:eastAsia="仿宋" w:cs="仿宋"/>
          <w:b w:val="0"/>
          <w:bCs w:val="0"/>
        </w:rPr>
        <w:t>般公共预算财政拨款“三公”经费支出决算表</w:t>
      </w:r>
    </w:p>
    <w:p>
      <w:pPr>
        <w:pStyle w:val="3"/>
        <w:keepNext/>
        <w:keepLines/>
        <w:pageBreakBefore w:val="0"/>
        <w:widowControl w:val="0"/>
        <w:kinsoku/>
        <w:overflowPunct/>
        <w:bidi w:val="0"/>
        <w:snapToGrid/>
        <w:spacing w:line="300" w:lineRule="exact"/>
        <w:textAlignment w:val="auto"/>
        <w:outlineLvl w:val="1"/>
        <w:rPr>
          <w:rFonts w:ascii="仿宋" w:hAnsi="仿宋" w:eastAsia="仿宋" w:cs="仿宋"/>
          <w:color w:val="000000"/>
        </w:rPr>
      </w:pPr>
      <w:r>
        <w:rPr>
          <w:rStyle w:val="13"/>
          <w:rFonts w:ascii="仿宋" w:hAnsi="仿宋" w:eastAsia="仿宋" w:cs="仿宋"/>
          <w:b w:val="0"/>
          <w:bCs w:val="0"/>
        </w:rPr>
        <w:t>十一、</w:t>
      </w:r>
      <w:r>
        <w:rPr>
          <w:rFonts w:ascii="仿宋" w:hAnsi="仿宋" w:eastAsia="仿宋" w:cs="仿宋"/>
          <w:b w:val="0"/>
          <w:color w:val="000000"/>
        </w:rPr>
        <w:t>政</w:t>
      </w:r>
      <w:r>
        <w:rPr>
          <w:rStyle w:val="13"/>
          <w:rFonts w:ascii="仿宋" w:hAnsi="仿宋" w:eastAsia="仿宋" w:cs="仿宋"/>
          <w:b w:val="0"/>
          <w:bCs w:val="0"/>
        </w:rPr>
        <w:t>府性基金预算财政拨款收入支出决算表</w:t>
      </w:r>
    </w:p>
    <w:p>
      <w:pPr>
        <w:pStyle w:val="3"/>
        <w:keepNext/>
        <w:keepLines/>
        <w:pageBreakBefore w:val="0"/>
        <w:widowControl w:val="0"/>
        <w:kinsoku/>
        <w:overflowPunct/>
        <w:bidi w:val="0"/>
        <w:snapToGrid/>
        <w:spacing w:line="300" w:lineRule="exact"/>
        <w:textAlignment w:val="auto"/>
        <w:outlineLvl w:val="1"/>
        <w:rPr>
          <w:rFonts w:ascii="仿宋" w:hAnsi="仿宋" w:eastAsia="仿宋" w:cs="仿宋"/>
          <w:color w:val="000000"/>
        </w:rPr>
      </w:pPr>
      <w:r>
        <w:rPr>
          <w:rStyle w:val="13"/>
          <w:rFonts w:ascii="仿宋" w:hAnsi="仿宋" w:eastAsia="仿宋" w:cs="仿宋"/>
          <w:b w:val="0"/>
          <w:bCs w:val="0"/>
        </w:rPr>
        <w:t>十二、</w:t>
      </w:r>
      <w:r>
        <w:rPr>
          <w:rFonts w:ascii="仿宋" w:hAnsi="仿宋" w:eastAsia="仿宋" w:cs="仿宋"/>
          <w:b w:val="0"/>
          <w:color w:val="000000"/>
        </w:rPr>
        <w:t>政</w:t>
      </w:r>
      <w:r>
        <w:rPr>
          <w:rStyle w:val="13"/>
          <w:rFonts w:ascii="仿宋" w:hAnsi="仿宋" w:eastAsia="仿宋" w:cs="仿宋"/>
          <w:b w:val="0"/>
          <w:bCs w:val="0"/>
        </w:rPr>
        <w:t>府性基金预算财政拨款“三公”经费支出决算表</w:t>
      </w:r>
    </w:p>
    <w:p>
      <w:pPr>
        <w:pStyle w:val="3"/>
        <w:keepNext/>
        <w:keepLines/>
        <w:pageBreakBefore w:val="0"/>
        <w:widowControl w:val="0"/>
        <w:kinsoku/>
        <w:overflowPunct/>
        <w:bidi w:val="0"/>
        <w:snapToGrid/>
        <w:spacing w:line="300" w:lineRule="exact"/>
        <w:textAlignment w:val="auto"/>
        <w:outlineLvl w:val="1"/>
        <w:rPr>
          <w:rStyle w:val="13"/>
          <w:rFonts w:ascii="仿宋" w:hAnsi="仿宋" w:eastAsia="仿宋" w:cs="仿宋"/>
          <w:b w:val="0"/>
          <w:bCs w:val="0"/>
        </w:rPr>
      </w:pPr>
      <w:r>
        <w:rPr>
          <w:rStyle w:val="13"/>
          <w:rFonts w:ascii="仿宋" w:hAnsi="仿宋" w:eastAsia="仿宋" w:cs="仿宋"/>
          <w:b w:val="0"/>
          <w:bCs w:val="0"/>
        </w:rPr>
        <w:t>十三、</w:t>
      </w:r>
      <w:r>
        <w:rPr>
          <w:rFonts w:ascii="仿宋" w:hAnsi="仿宋" w:eastAsia="仿宋" w:cs="仿宋"/>
          <w:b w:val="0"/>
          <w:color w:val="000000"/>
        </w:rPr>
        <w:t>国</w:t>
      </w:r>
      <w:r>
        <w:rPr>
          <w:rStyle w:val="13"/>
          <w:rFonts w:ascii="仿宋" w:hAnsi="仿宋" w:eastAsia="仿宋" w:cs="仿宋"/>
          <w:b w:val="0"/>
          <w:bCs w:val="0"/>
        </w:rPr>
        <w:t>有资本经营预算财政拨款</w:t>
      </w:r>
      <w:r>
        <w:rPr>
          <w:rStyle w:val="13"/>
          <w:rFonts w:ascii="仿宋" w:hAnsi="仿宋" w:eastAsia="仿宋" w:cs="仿宋"/>
          <w:b w:val="0"/>
          <w:bCs w:val="0"/>
          <w:lang w:eastAsia="zh-CN"/>
        </w:rPr>
        <w:t>收入</w:t>
      </w:r>
      <w:r>
        <w:rPr>
          <w:rStyle w:val="13"/>
          <w:rFonts w:ascii="仿宋" w:hAnsi="仿宋" w:eastAsia="仿宋" w:cs="仿宋"/>
          <w:b w:val="0"/>
          <w:bCs w:val="0"/>
        </w:rPr>
        <w:t>支出决算表</w:t>
      </w:r>
    </w:p>
    <w:p>
      <w:pPr>
        <w:pStyle w:val="3"/>
        <w:keepNext/>
        <w:keepLines/>
        <w:pageBreakBefore w:val="0"/>
        <w:widowControl w:val="0"/>
        <w:kinsoku/>
        <w:overflowPunct/>
        <w:bidi w:val="0"/>
        <w:snapToGrid/>
        <w:spacing w:line="300" w:lineRule="exact"/>
        <w:textAlignment w:val="auto"/>
        <w:outlineLvl w:val="1"/>
        <w:rPr>
          <w:rStyle w:val="13"/>
          <w:rFonts w:ascii="仿宋" w:hAnsi="仿宋" w:eastAsia="仿宋" w:cs="仿宋"/>
          <w:b w:val="0"/>
          <w:bCs w:val="0"/>
        </w:rPr>
      </w:pPr>
      <w:r>
        <w:rPr>
          <w:rStyle w:val="13"/>
          <w:rFonts w:ascii="仿宋" w:hAnsi="仿宋" w:eastAsia="仿宋" w:cs="仿宋"/>
          <w:b w:val="0"/>
          <w:bCs w:val="0"/>
          <w:lang w:eastAsia="zh-CN"/>
        </w:rPr>
        <w:t>十四、</w:t>
      </w:r>
      <w:r>
        <w:rPr>
          <w:rFonts w:ascii="仿宋" w:hAnsi="仿宋" w:eastAsia="仿宋" w:cs="仿宋"/>
          <w:b w:val="0"/>
          <w:color w:val="000000"/>
        </w:rPr>
        <w:t>国</w:t>
      </w:r>
      <w:r>
        <w:rPr>
          <w:rStyle w:val="13"/>
          <w:rFonts w:ascii="仿宋" w:hAnsi="仿宋" w:eastAsia="仿宋" w:cs="仿宋"/>
          <w:b w:val="0"/>
          <w:bCs w:val="0"/>
        </w:rPr>
        <w:t>有资本经营预算财政拨款支出决算表</w:t>
      </w:r>
    </w:p>
    <w:p>
      <w:pPr>
        <w:pStyle w:val="3"/>
        <w:keepNext/>
        <w:keepLines/>
        <w:pageBreakBefore w:val="0"/>
        <w:widowControl w:val="0"/>
        <w:kinsoku/>
        <w:overflowPunct/>
        <w:bidi w:val="0"/>
        <w:snapToGrid/>
        <w:spacing w:beforeLines="108" w:beforeAutospacing="0" w:afterLines="108" w:afterAutospacing="0" w:line="300" w:lineRule="exact"/>
        <w:textAlignment w:val="auto"/>
        <w:outlineLvl w:val="1"/>
        <w:rPr>
          <w:rStyle w:val="13"/>
          <w:rFonts w:ascii="仿宋" w:hAnsi="仿宋" w:eastAsia="仿宋" w:cs="仿宋"/>
          <w:b w:val="0"/>
          <w:bCs w:val="0"/>
          <w:lang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auto"/>
    <w:pitch w:val="default"/>
    <w:sig w:usb0="00000000" w:usb1="00000000" w:usb2="0000000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仿宋">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宋体-方正超大字符集">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楷体_GB2312;楷体">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w:instrText>
    </w:r>
    <w:r>
      <w:fldChar w:fldCharType="separate"/>
    </w:r>
    <w:r>
      <w:t>35</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3"/>
      <w:numFmt w:val="chineseCountingThousand"/>
      <w:suff w:val="space"/>
      <w:lvlText w:val="第%1部分"/>
      <w:lvlJc w:val="left"/>
      <w:pPr>
        <w:tabs>
          <w:tab w:val="left" w:pos="0"/>
        </w:tabs>
        <w:ind w:left="0" w:firstLine="0"/>
      </w:pPr>
      <w:rPr>
        <w:rFonts w:cs="Times New Roman"/>
      </w:rPr>
    </w:lvl>
  </w:abstractNum>
  <w:abstractNum w:abstractNumId="1">
    <w:nsid w:val="BF205925"/>
    <w:multiLevelType w:val="singleLevel"/>
    <w:tmpl w:val="BF205925"/>
    <w:lvl w:ilvl="0" w:tentative="0">
      <w:start w:val="1"/>
      <w:numFmt w:val="decimal"/>
      <w:lvlText w:val="%1."/>
      <w:lvlJc w:val="left"/>
      <w:pPr>
        <w:tabs>
          <w:tab w:val="left" w:pos="420"/>
        </w:tabs>
        <w:ind w:left="0" w:firstLine="0"/>
      </w:pPr>
      <w:rPr>
        <w:rFonts w:cs="仿宋_GB2312;仿宋"/>
      </w:rPr>
    </w:lvl>
  </w:abstractNum>
  <w:abstractNum w:abstractNumId="2">
    <w:nsid w:val="CF092B84"/>
    <w:multiLevelType w:val="multilevel"/>
    <w:tmpl w:val="CF092B84"/>
    <w:lvl w:ilvl="0" w:tentative="0">
      <w:start w:val="1"/>
      <w:numFmt w:val="chineseCountingThousand"/>
      <w:lvlText w:val="%1、"/>
      <w:lvlJc w:val="left"/>
      <w:pPr>
        <w:tabs>
          <w:tab w:val="left" w:pos="0"/>
        </w:tabs>
        <w:ind w:left="1360" w:hanging="720"/>
      </w:pPr>
      <w:rPr>
        <w:rFonts w:cs="Times New Roman"/>
        <w:b w:val="0"/>
      </w:rPr>
    </w:lvl>
    <w:lvl w:ilvl="1" w:tentative="0">
      <w:start w:val="1"/>
      <w:numFmt w:val="lowerLetter"/>
      <w:lvlText w:val="%2)"/>
      <w:lvlJc w:val="left"/>
      <w:pPr>
        <w:tabs>
          <w:tab w:val="left" w:pos="0"/>
        </w:tabs>
        <w:ind w:left="1480" w:hanging="420"/>
      </w:pPr>
      <w:rPr>
        <w:rFonts w:cs="Times New Roman"/>
      </w:rPr>
    </w:lvl>
    <w:lvl w:ilvl="2" w:tentative="0">
      <w:start w:val="1"/>
      <w:numFmt w:val="lowerRoman"/>
      <w:lvlText w:val="%3."/>
      <w:lvlJc w:val="right"/>
      <w:pPr>
        <w:tabs>
          <w:tab w:val="left" w:pos="0"/>
        </w:tabs>
        <w:ind w:left="1900" w:hanging="420"/>
      </w:pPr>
      <w:rPr>
        <w:rFonts w:cs="Times New Roman"/>
      </w:rPr>
    </w:lvl>
    <w:lvl w:ilvl="3" w:tentative="0">
      <w:start w:val="1"/>
      <w:numFmt w:val="decimal"/>
      <w:lvlText w:val="%4."/>
      <w:lvlJc w:val="left"/>
      <w:pPr>
        <w:tabs>
          <w:tab w:val="left" w:pos="0"/>
        </w:tabs>
        <w:ind w:left="2320" w:hanging="420"/>
      </w:pPr>
      <w:rPr>
        <w:rFonts w:cs="Times New Roman"/>
      </w:rPr>
    </w:lvl>
    <w:lvl w:ilvl="4" w:tentative="0">
      <w:start w:val="1"/>
      <w:numFmt w:val="lowerLetter"/>
      <w:lvlText w:val="%5)"/>
      <w:lvlJc w:val="left"/>
      <w:pPr>
        <w:tabs>
          <w:tab w:val="left" w:pos="0"/>
        </w:tabs>
        <w:ind w:left="2740" w:hanging="420"/>
      </w:pPr>
      <w:rPr>
        <w:rFonts w:cs="Times New Roman"/>
      </w:rPr>
    </w:lvl>
    <w:lvl w:ilvl="5" w:tentative="0">
      <w:start w:val="1"/>
      <w:numFmt w:val="lowerRoman"/>
      <w:lvlText w:val="%6."/>
      <w:lvlJc w:val="right"/>
      <w:pPr>
        <w:tabs>
          <w:tab w:val="left" w:pos="0"/>
        </w:tabs>
        <w:ind w:left="3160" w:hanging="420"/>
      </w:pPr>
      <w:rPr>
        <w:rFonts w:cs="Times New Roman"/>
      </w:rPr>
    </w:lvl>
    <w:lvl w:ilvl="6" w:tentative="0">
      <w:start w:val="1"/>
      <w:numFmt w:val="decimal"/>
      <w:lvlText w:val="%7."/>
      <w:lvlJc w:val="left"/>
      <w:pPr>
        <w:tabs>
          <w:tab w:val="left" w:pos="0"/>
        </w:tabs>
        <w:ind w:left="3580" w:hanging="420"/>
      </w:pPr>
      <w:rPr>
        <w:rFonts w:cs="Times New Roman"/>
      </w:rPr>
    </w:lvl>
    <w:lvl w:ilvl="7" w:tentative="0">
      <w:start w:val="1"/>
      <w:numFmt w:val="lowerLetter"/>
      <w:lvlText w:val="%8)"/>
      <w:lvlJc w:val="left"/>
      <w:pPr>
        <w:tabs>
          <w:tab w:val="left" w:pos="0"/>
        </w:tabs>
        <w:ind w:left="4000" w:hanging="420"/>
      </w:pPr>
      <w:rPr>
        <w:rFonts w:cs="Times New Roman"/>
      </w:rPr>
    </w:lvl>
    <w:lvl w:ilvl="8" w:tentative="0">
      <w:start w:val="1"/>
      <w:numFmt w:val="lowerRoman"/>
      <w:lvlText w:val="%9."/>
      <w:lvlJc w:val="right"/>
      <w:pPr>
        <w:tabs>
          <w:tab w:val="left" w:pos="0"/>
        </w:tabs>
        <w:ind w:left="4420" w:hanging="420"/>
      </w:pPr>
      <w:rPr>
        <w:rFonts w:cs="Times New Roman"/>
      </w:rPr>
    </w:lvl>
  </w:abstractNum>
  <w:abstractNum w:abstractNumId="3">
    <w:nsid w:val="0053208E"/>
    <w:multiLevelType w:val="multilevel"/>
    <w:tmpl w:val="0053208E"/>
    <w:lvl w:ilvl="0" w:tentative="0">
      <w:start w:val="1"/>
      <w:numFmt w:val="none"/>
      <w:pStyle w:val="2"/>
      <w:suff w:val="nothing"/>
      <w:lvlText w:val=""/>
      <w:lvlJc w:val="left"/>
      <w:pPr>
        <w:tabs>
          <w:tab w:val="left" w:pos="0"/>
        </w:tabs>
        <w:ind w:left="0" w:firstLine="0"/>
      </w:pPr>
    </w:lvl>
    <w:lvl w:ilvl="1" w:tentative="0">
      <w:start w:val="1"/>
      <w:numFmt w:val="none"/>
      <w:pStyle w:val="3"/>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4">
    <w:nsid w:val="03D62ECE"/>
    <w:multiLevelType w:val="singleLevel"/>
    <w:tmpl w:val="03D62ECE"/>
    <w:lvl w:ilvl="0" w:tentative="0">
      <w:start w:val="1"/>
      <w:numFmt w:val="chineseCountingThousand"/>
      <w:suff w:val="nothing"/>
      <w:lvlText w:val="（%1）"/>
      <w:lvlJc w:val="left"/>
      <w:pPr>
        <w:tabs>
          <w:tab w:val="left" w:pos="0"/>
        </w:tabs>
        <w:ind w:left="0" w:firstLine="0"/>
      </w:pPr>
    </w:lvl>
  </w:abstractNum>
  <w:abstractNum w:abstractNumId="5">
    <w:nsid w:val="59ADCABA"/>
    <w:multiLevelType w:val="singleLevel"/>
    <w:tmpl w:val="59ADCABA"/>
    <w:lvl w:ilvl="0" w:tentative="0">
      <w:start w:val="9"/>
      <w:numFmt w:val="chineseCountingThousand"/>
      <w:suff w:val="nothing"/>
      <w:lvlText w:val="%1、"/>
      <w:lvlJc w:val="left"/>
      <w:pPr>
        <w:tabs>
          <w:tab w:val="left" w:pos="0"/>
        </w:tabs>
        <w:ind w:left="0" w:firstLine="0"/>
      </w:pPr>
      <w:rPr>
        <w:rFonts w:cs="Times New Roma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autoHyphenation/>
  <w:compat>
    <w:noLeading/>
    <w:balanceSingleByteDoubleByteWidth/>
    <w:ulTrailSpace/>
    <w:doNotExpandShiftReturn/>
    <w:useFELayout/>
    <w:compatSetting w:name="compatibilityMode" w:uri="http://schemas.microsoft.com/office/word" w:val="14"/>
  </w:compat>
  <w:docVars>
    <w:docVar w:name="commondata" w:val="eyJoZGlkIjoiNmI0YjRjMzY4Y2EyMDI4MzcwODVjNmZjZTYyZTdiNzAifQ=="/>
    <w:docVar w:name="KSO_WPS_MARK_KEY" w:val="c5315f60-fc21-43cb-8afa-fda49f15f3b9"/>
  </w:docVars>
  <w:rsids>
    <w:rsidRoot w:val="00000000"/>
    <w:rsid w:val="362B7695"/>
    <w:rsid w:val="4A363FCD"/>
    <w:rsid w:val="67E7AB06"/>
    <w:rsid w:val="7DEA5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val="0"/>
      <w:bidi w:val="0"/>
      <w:jc w:val="both"/>
    </w:pPr>
    <w:rPr>
      <w:rFonts w:ascii="Times New Roman" w:hAnsi="Times New Roman" w:eastAsia="宋体" w:cs="Times New Roman"/>
      <w:color w:val="auto"/>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41" w:beforeAutospacing="0" w:afterLines="137" w:afterAutospacing="0" w:line="576" w:lineRule="auto"/>
      <w:outlineLvl w:val="0"/>
    </w:pPr>
    <w:rPr>
      <w:b/>
      <w:bCs/>
      <w:kern w:val="2"/>
      <w:sz w:val="44"/>
      <w:szCs w:val="44"/>
    </w:rPr>
  </w:style>
  <w:style w:type="paragraph" w:styleId="3">
    <w:name w:val="heading 2"/>
    <w:basedOn w:val="1"/>
    <w:next w:val="1"/>
    <w:qFormat/>
    <w:uiPriority w:val="0"/>
    <w:pPr>
      <w:keepNext/>
      <w:keepLines/>
      <w:numPr>
        <w:ilvl w:val="1"/>
        <w:numId w:val="1"/>
      </w:numPr>
      <w:spacing w:beforeLines="108" w:beforeAutospacing="0" w:afterLines="108" w:afterAutospacing="0" w:line="415" w:lineRule="auto"/>
      <w:outlineLvl w:val="1"/>
    </w:pPr>
    <w:rPr>
      <w:rFonts w:ascii="Cambria" w:hAnsi="Cambria" w:cs="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仿宋_GB2312;仿宋" w:hAnsi="仿宋_GB2312;仿宋" w:eastAsia="仿宋_GB2312;仿宋"/>
      <w:kern w:val="0"/>
      <w:sz w:val="24"/>
      <w:szCs w:val="20"/>
    </w:rPr>
  </w:style>
  <w:style w:type="paragraph" w:styleId="5">
    <w:name w:val="footer"/>
    <w:basedOn w:val="1"/>
    <w:qFormat/>
    <w:uiPriority w:val="0"/>
    <w:pPr>
      <w:tabs>
        <w:tab w:val="center" w:pos="4153"/>
        <w:tab w:val="right" w:pos="8306"/>
      </w:tabs>
      <w:snapToGrid w:val="0"/>
      <w:jc w:val="left"/>
    </w:pPr>
    <w:rPr>
      <w:rFonts w:ascii="Calibri" w:hAnsi="Calibri" w:cs="Calibri"/>
      <w:kern w:val="0"/>
      <w:sz w:val="18"/>
      <w:szCs w:val="20"/>
    </w:rPr>
  </w:style>
  <w:style w:type="paragraph" w:styleId="6">
    <w:name w:val="header"/>
    <w:basedOn w:val="1"/>
    <w:qFormat/>
    <w:uiPriority w:val="0"/>
    <w:pPr>
      <w:pBdr>
        <w:bottom w:val="single" w:color="000000" w:sz="6" w:space="1"/>
      </w:pBdr>
      <w:tabs>
        <w:tab w:val="center" w:pos="4153"/>
        <w:tab w:val="right" w:pos="8306"/>
      </w:tabs>
      <w:snapToGrid w:val="0"/>
      <w:jc w:val="center"/>
    </w:pPr>
    <w:rPr>
      <w:rFonts w:ascii="Calibri" w:hAnsi="Calibri" w:cs="Calibri"/>
      <w:kern w:val="0"/>
      <w:sz w:val="18"/>
      <w:szCs w:val="20"/>
    </w:rPr>
  </w:style>
  <w:style w:type="paragraph" w:styleId="7">
    <w:name w:val="toc 1"/>
    <w:basedOn w:val="1"/>
    <w:next w:val="1"/>
    <w:qFormat/>
    <w:uiPriority w:val="0"/>
    <w:pPr>
      <w:tabs>
        <w:tab w:val="right" w:leader="dot" w:pos="8296"/>
      </w:tabs>
      <w:spacing w:beforeLines="38" w:beforeAutospacing="0" w:afterLines="0" w:afterAutospacing="0"/>
      <w:jc w:val="center"/>
    </w:pPr>
    <w:rPr>
      <w:rFonts w:ascii="仿宋" w:hAnsi="仿宋" w:eastAsia="仿宋" w:cs="仿宋"/>
      <w:sz w:val="28"/>
      <w:szCs w:val="28"/>
    </w:rPr>
  </w:style>
  <w:style w:type="paragraph" w:styleId="8">
    <w:name w:val="toc 2"/>
    <w:basedOn w:val="1"/>
    <w:next w:val="1"/>
    <w:qFormat/>
    <w:uiPriority w:val="0"/>
    <w:pPr>
      <w:tabs>
        <w:tab w:val="right" w:leader="dot" w:pos="8296"/>
      </w:tabs>
      <w:ind w:left="420" w:leftChars="0"/>
    </w:pPr>
  </w:style>
  <w:style w:type="character" w:customStyle="1" w:styleId="11">
    <w:name w:val="默认段落字体1"/>
    <w:qFormat/>
    <w:uiPriority w:val="0"/>
  </w:style>
  <w:style w:type="character" w:customStyle="1" w:styleId="12">
    <w:name w:val=" Char Char6"/>
    <w:basedOn w:val="11"/>
    <w:qFormat/>
    <w:uiPriority w:val="0"/>
    <w:rPr>
      <w:rFonts w:ascii="Times New Roman" w:hAnsi="Times New Roman" w:cs="Times New Roman"/>
      <w:b/>
      <w:bCs/>
      <w:kern w:val="2"/>
      <w:sz w:val="44"/>
      <w:szCs w:val="44"/>
    </w:rPr>
  </w:style>
  <w:style w:type="character" w:customStyle="1" w:styleId="13">
    <w:name w:val=" Char Char5"/>
    <w:basedOn w:val="11"/>
    <w:qFormat/>
    <w:uiPriority w:val="0"/>
    <w:rPr>
      <w:rFonts w:ascii="Cambria" w:hAnsi="Cambria" w:eastAsia="宋体" w:cs="Times New Roman"/>
      <w:b/>
      <w:bCs/>
      <w:kern w:val="2"/>
      <w:sz w:val="32"/>
      <w:szCs w:val="32"/>
    </w:rPr>
  </w:style>
  <w:style w:type="character" w:customStyle="1" w:styleId="14">
    <w:name w:val="明显强调"/>
    <w:basedOn w:val="11"/>
    <w:qFormat/>
    <w:uiPriority w:val="0"/>
    <w:rPr>
      <w:rFonts w:cs="Times New Roman"/>
      <w:b/>
    </w:rPr>
  </w:style>
  <w:style w:type="character" w:customStyle="1" w:styleId="15">
    <w:name w:val="Internet 链接"/>
    <w:basedOn w:val="11"/>
    <w:qFormat/>
    <w:uiPriority w:val="0"/>
    <w:rPr>
      <w:rFonts w:cs="Times New Roman"/>
      <w:color w:val="0000FF"/>
      <w:u w:val="single"/>
    </w:rPr>
  </w:style>
  <w:style w:type="paragraph" w:customStyle="1" w:styleId="16">
    <w:name w:val="普通(网站)1"/>
    <w:basedOn w:val="1"/>
    <w:qFormat/>
    <w:uiPriority w:val="0"/>
    <w:pPr>
      <w:keepNext w:val="0"/>
      <w:keepLines w:val="0"/>
      <w:widowControl w:val="0"/>
      <w:spacing w:beforeLines="41" w:beforeAutospacing="0" w:afterLines="41" w:afterAutospacing="0"/>
      <w:jc w:val="left"/>
    </w:pPr>
    <w:rPr>
      <w:rFonts w:ascii="Times New Roman" w:hAnsi="Times New Roman" w:eastAsia="宋体" w:cs="Times New Roman"/>
      <w:kern w:val="0"/>
      <w:sz w:val="24"/>
      <w:szCs w:val="20"/>
      <w:lang w:val="en-US" w:eastAsia="zh-CN" w:bidi="ar"/>
    </w:rPr>
  </w:style>
  <w:style w:type="paragraph" w:styleId="17">
    <w:name w:val="List Paragraph"/>
    <w:basedOn w:val="1"/>
    <w:qFormat/>
    <w:uiPriority w:val="0"/>
  </w:style>
  <w:style w:type="paragraph" w:customStyle="1" w:styleId="18">
    <w:name w:val="Default"/>
    <w:qFormat/>
    <w:uiPriority w:val="0"/>
    <w:pPr>
      <w:widowControl w:val="0"/>
      <w:suppressAutoHyphens w:val="0"/>
      <w:autoSpaceDE w:val="0"/>
      <w:bidi w:val="0"/>
    </w:pPr>
    <w:rPr>
      <w:rFonts w:ascii="仿宋" w:hAnsi="仿宋"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12622</Words>
  <Characters>13296</Characters>
  <Paragraphs>395</Paragraphs>
  <TotalTime>33124</TotalTime>
  <ScaleCrop>false</ScaleCrop>
  <LinksUpToDate>false</LinksUpToDate>
  <CharactersWithSpaces>21165</CharactersWithSpaces>
  <Application>WPS Office_11.8.2.1114_F1E327BC-269C-435d-A152-05C5408002CA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user</cp:lastModifiedBy>
  <cp:lastPrinted>2021-07-30T03:56:00Z</cp:lastPrinted>
  <dcterms:modified xsi:type="dcterms:W3CDTF">2023-04-25T09:08:44Z</dcterms:modified>
  <dc:title>四川省***</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8605399CB7DF484C9F5790500E3BC855</vt:lpwstr>
  </property>
  <property fmtid="{D5CDD505-2E9C-101B-9397-08002B2CF9AE}" pid="3" name="KSOProductBuildVer">
    <vt:lpwstr>2052-11.8.2.1114</vt:lpwstr>
  </property>
</Properties>
</file>