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宋体" w:eastAsia="方正小标宋简体"/>
          <w:sz w:val="72"/>
          <w:szCs w:val="72"/>
        </w:rPr>
      </w:pPr>
      <w:bookmarkStart w:id="1" w:name="_Toc15378441"/>
      <w:bookmarkStart w:id="2" w:name="_Toc15396475"/>
      <w:bookmarkStart w:id="3" w:name="_Toc15377425"/>
      <w:bookmarkStart w:id="4" w:name="_Toc15396597"/>
      <w:bookmarkStart w:id="5" w:name="_Toc15377193"/>
      <w:r>
        <w:rPr>
          <w:rFonts w:hint="eastAsia" w:ascii="方正小标宋简体" w:hAnsi="宋体" w:eastAsia="方正小标宋简体"/>
          <w:sz w:val="72"/>
          <w:szCs w:val="72"/>
        </w:rPr>
        <w:t>达川区管村初级中学</w:t>
      </w:r>
    </w:p>
    <w:p>
      <w:pPr>
        <w:adjustRightInd w:val="0"/>
        <w:snapToGrid w:val="0"/>
        <w:spacing w:line="360" w:lineRule="auto"/>
        <w:jc w:val="center"/>
        <w:outlineLvl w:val="0"/>
        <w:rPr>
          <w:rFonts w:ascii="方正小标宋简体" w:hAnsi="宋体" w:eastAsia="方正小标宋简体"/>
          <w:sz w:val="72"/>
          <w:szCs w:val="72"/>
        </w:rPr>
      </w:pPr>
      <w:r>
        <w:rPr>
          <w:rFonts w:ascii="黑体" w:hAnsi="黑体" w:eastAsia="黑体"/>
          <w:sz w:val="72"/>
          <w:szCs w:val="72"/>
        </w:rPr>
        <w:t>201</w:t>
      </w:r>
      <w:r>
        <w:rPr>
          <w:rFonts w:hint="eastAsia" w:ascii="黑体" w:hAnsi="黑体" w:eastAsia="黑体"/>
          <w:sz w:val="72"/>
          <w:szCs w:val="72"/>
        </w:rPr>
        <w:t>8</w:t>
      </w:r>
      <w:r>
        <w:rPr>
          <w:rFonts w:hint="eastAsia" w:ascii="方正小标宋简体" w:hAnsi="宋体" w:eastAsia="方正小标宋简体"/>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ascii="方正小标宋简体" w:hAnsi="宋体" w:eastAsia="方正小标宋简体"/>
          <w:sz w:val="72"/>
          <w:szCs w:val="72"/>
        </w:rPr>
      </w:pPr>
      <w:bookmarkStart w:id="6" w:name="_Toc15396476"/>
      <w:bookmarkStart w:id="7" w:name="_Toc15377426"/>
      <w:bookmarkStart w:id="8" w:name="_Toc15306268"/>
      <w:bookmarkStart w:id="9" w:name="_Toc15378442"/>
      <w:bookmarkStart w:id="10" w:name="_Toc15377194"/>
      <w:bookmarkStart w:id="11" w:name="_Toc15396598"/>
      <w:r>
        <w:rPr>
          <w:rFonts w:hint="eastAsia" w:ascii="方正小标宋简体" w:hAnsi="宋体" w:eastAsia="方正小标宋简体"/>
          <w:sz w:val="72"/>
          <w:szCs w:val="72"/>
        </w:rPr>
        <w:t>部门决算</w:t>
      </w:r>
      <w:bookmarkEnd w:id="6"/>
      <w:bookmarkEnd w:id="7"/>
      <w:bookmarkEnd w:id="8"/>
      <w:bookmarkEnd w:id="9"/>
      <w:bookmarkEnd w:id="10"/>
      <w:bookmarkEnd w:id="11"/>
      <w:r>
        <w:rPr>
          <w:rFonts w:hint="eastAsia" w:ascii="方正小标宋简体" w:hAnsi="宋体" w:eastAsia="方正小标宋简体"/>
          <w:sz w:val="72"/>
          <w:szCs w:val="72"/>
        </w:rPr>
        <w:t>编制说明</w:t>
      </w:r>
    </w:p>
    <w:p>
      <w:pPr>
        <w:widowControl/>
        <w:jc w:val="center"/>
        <w:rPr>
          <w:rFonts w:ascii="黑体" w:hAnsi="黑体" w:eastAsia="黑体"/>
          <w:sz w:val="48"/>
          <w:szCs w:val="48"/>
        </w:rPr>
      </w:pPr>
      <w:bookmarkStart w:id="75" w:name="_GoBack"/>
      <w:bookmarkEnd w:id="75"/>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r>
        <w:rPr>
          <w:rFonts w:ascii="黑体" w:hAnsi="黑体" w:eastAsia="黑体"/>
          <w:sz w:val="48"/>
          <w:szCs w:val="48"/>
        </w:rPr>
        <w:fldChar w:fldCharType="begin"/>
      </w:r>
      <w:r>
        <w:rPr>
          <w:rFonts w:ascii="黑体" w:hAnsi="黑体" w:eastAsia="黑体"/>
          <w:sz w:val="48"/>
          <w:szCs w:val="48"/>
        </w:rPr>
        <w:instrText xml:space="preserve"> TOC \o "1-2" \h \z \u </w:instrText>
      </w:r>
      <w:r>
        <w:rPr>
          <w:rFonts w:ascii="黑体" w:hAnsi="黑体" w:eastAsia="黑体"/>
          <w:sz w:val="48"/>
          <w:szCs w:val="48"/>
        </w:rPr>
        <w:fldChar w:fldCharType="separate"/>
      </w:r>
    </w:p>
    <w:p>
      <w:pPr>
        <w:pStyle w:val="10"/>
      </w:pPr>
      <w:r>
        <w:rPr>
          <w:rFonts w:hint="eastAsia"/>
        </w:rPr>
        <w:t>公开时间：2019年8月29日</w:t>
      </w:r>
    </w:p>
    <w:p/>
    <w:p>
      <w:pPr>
        <w:pStyle w:val="10"/>
        <w:rPr>
          <w:rFonts w:cstheme="minorBidi"/>
        </w:rPr>
      </w:pPr>
      <w:r>
        <w:fldChar w:fldCharType="begin"/>
      </w:r>
      <w:r>
        <w:instrText xml:space="preserve"> HYPERLINK \l "_Toc15396599" </w:instrText>
      </w:r>
      <w:r>
        <w:fldChar w:fldCharType="separate"/>
      </w:r>
      <w:r>
        <w:rPr>
          <w:rStyle w:val="16"/>
          <w:rFonts w:hint="eastAsia"/>
          <w:color w:val="auto"/>
        </w:rPr>
        <w:t>第一部分部门概况</w:t>
      </w:r>
      <w:r>
        <w:tab/>
      </w:r>
      <w:r>
        <w:rPr>
          <w:rFonts w:hint="eastAsia"/>
        </w:rPr>
        <w:t>4</w:t>
      </w:r>
      <w:r>
        <w:rPr>
          <w:rFonts w:hint="eastAsia"/>
        </w:rPr>
        <w:fldChar w:fldCharType="end"/>
      </w:r>
    </w:p>
    <w:p>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color w:val="auto"/>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color w:val="auto"/>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pPr>
        <w:pStyle w:val="10"/>
      </w:pPr>
      <w:r>
        <w:fldChar w:fldCharType="begin"/>
      </w:r>
      <w:r>
        <w:instrText xml:space="preserve"> HYPERLINK \l "_Toc15396602" </w:instrText>
      </w:r>
      <w:r>
        <w:fldChar w:fldCharType="separate"/>
      </w:r>
      <w:r>
        <w:rPr>
          <w:rStyle w:val="16"/>
          <w:rFonts w:hint="eastAsia"/>
          <w:color w:val="auto"/>
        </w:rPr>
        <w:t>第二部分</w:t>
      </w:r>
      <w:r>
        <w:rPr>
          <w:rStyle w:val="16"/>
          <w:color w:val="auto"/>
        </w:rPr>
        <w:t xml:space="preserve"> 2018</w:t>
      </w:r>
      <w:r>
        <w:rPr>
          <w:rStyle w:val="16"/>
          <w:rFonts w:hint="eastAsia"/>
          <w:color w:val="auto"/>
        </w:rPr>
        <w:t>年度部门决算情况说明</w:t>
      </w:r>
      <w:r>
        <w:tab/>
      </w:r>
      <w:r>
        <w:fldChar w:fldCharType="begin"/>
      </w:r>
      <w:r>
        <w:instrText xml:space="preserve"> PAGEREF _Toc15396602 \h </w:instrText>
      </w:r>
      <w:r>
        <w:fldChar w:fldCharType="separate"/>
      </w:r>
      <w:r>
        <w:t>5</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color w:val="auto"/>
          <w:sz w:val="28"/>
          <w:szCs w:val="28"/>
        </w:rPr>
        <w:t>一、</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color w:val="auto"/>
          <w:sz w:val="28"/>
          <w:szCs w:val="28"/>
        </w:rPr>
        <w:t>二、</w:t>
      </w:r>
      <w:r>
        <w:rPr>
          <w:rStyle w:val="16"/>
          <w:rFonts w:hint="eastAsia" w:ascii="仿宋" w:hAnsi="仿宋" w:eastAsia="仿宋"/>
          <w:color w:val="auto"/>
          <w:sz w:val="28"/>
          <w:szCs w:val="28"/>
        </w:rPr>
        <w:t>收</w:t>
      </w:r>
      <w:r>
        <w:rPr>
          <w:rStyle w:val="16"/>
          <w:rFonts w:hint="eastAsia" w:ascii="仿宋" w:hAnsi="仿宋" w:eastAsia="仿宋" w:cstheme="majorBidi"/>
          <w:bCs/>
          <w:color w:val="auto"/>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color w:val="auto"/>
          <w:sz w:val="28"/>
          <w:szCs w:val="28"/>
        </w:rPr>
        <w:t>三、</w:t>
      </w:r>
      <w:r>
        <w:rPr>
          <w:rStyle w:val="16"/>
          <w:rFonts w:hint="eastAsia" w:ascii="仿宋" w:hAnsi="仿宋" w:eastAsia="仿宋"/>
          <w:color w:val="auto"/>
          <w:sz w:val="28"/>
          <w:szCs w:val="28"/>
        </w:rPr>
        <w:t>支</w:t>
      </w:r>
      <w:r>
        <w:rPr>
          <w:rStyle w:val="16"/>
          <w:rFonts w:hint="eastAsia" w:ascii="仿宋" w:hAnsi="仿宋" w:eastAsia="仿宋" w:cstheme="majorBidi"/>
          <w:bCs/>
          <w:color w:val="auto"/>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color w:val="auto"/>
          <w:sz w:val="28"/>
          <w:szCs w:val="28"/>
        </w:rPr>
        <w:t>四、财</w:t>
      </w:r>
      <w:r>
        <w:rPr>
          <w:rStyle w:val="16"/>
          <w:rFonts w:hint="eastAsia" w:ascii="仿宋" w:hAnsi="仿宋" w:eastAsia="仿宋" w:cstheme="majorBidi"/>
          <w:bCs/>
          <w:color w:val="auto"/>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7</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color w:val="auto"/>
          <w:sz w:val="28"/>
          <w:szCs w:val="28"/>
        </w:rPr>
        <w:t>五、一</w:t>
      </w:r>
      <w:r>
        <w:rPr>
          <w:rStyle w:val="16"/>
          <w:rFonts w:hint="eastAsia" w:ascii="仿宋" w:hAnsi="仿宋" w:eastAsia="仿宋" w:cstheme="majorBidi"/>
          <w:bCs/>
          <w:color w:val="auto"/>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color w:val="auto"/>
          <w:sz w:val="28"/>
          <w:szCs w:val="28"/>
        </w:rPr>
        <w:t>六、一</w:t>
      </w:r>
      <w:r>
        <w:rPr>
          <w:rStyle w:val="16"/>
          <w:rFonts w:hint="eastAsia" w:ascii="仿宋" w:hAnsi="仿宋" w:eastAsia="仿宋" w:cstheme="majorBidi"/>
          <w:bCs/>
          <w:color w:val="auto"/>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color w:val="auto"/>
          <w:sz w:val="28"/>
          <w:szCs w:val="28"/>
        </w:rPr>
        <w:t>七、</w:t>
      </w:r>
      <w:r>
        <w:rPr>
          <w:rStyle w:val="16"/>
          <w:rFonts w:ascii="仿宋" w:hAnsi="仿宋" w:eastAsia="仿宋"/>
          <w:color w:val="auto"/>
          <w:sz w:val="28"/>
          <w:szCs w:val="28"/>
        </w:rPr>
        <w:t>“</w:t>
      </w:r>
      <w:r>
        <w:rPr>
          <w:rStyle w:val="16"/>
          <w:rFonts w:hint="eastAsia" w:ascii="仿宋" w:hAnsi="仿宋" w:eastAsia="仿宋" w:cstheme="majorBidi"/>
          <w:bCs/>
          <w:color w:val="auto"/>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color w:val="auto"/>
          <w:sz w:val="28"/>
          <w:szCs w:val="28"/>
        </w:rPr>
        <w:t>八、</w:t>
      </w:r>
      <w:r>
        <w:rPr>
          <w:rStyle w:val="16"/>
          <w:rFonts w:hint="eastAsia" w:ascii="仿宋" w:hAnsi="仿宋" w:eastAsia="仿宋" w:cstheme="majorBidi"/>
          <w:bCs/>
          <w:color w:val="auto"/>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color w:val="auto"/>
          <w:sz w:val="28"/>
          <w:szCs w:val="28"/>
        </w:rPr>
        <w:t>九、</w:t>
      </w:r>
      <w:r>
        <w:rPr>
          <w:rStyle w:val="16"/>
          <w:rFonts w:hint="eastAsia" w:ascii="仿宋" w:hAnsi="仿宋" w:eastAsia="仿宋"/>
          <w:color w:val="auto"/>
          <w:sz w:val="28"/>
          <w:szCs w:val="28"/>
        </w:rPr>
        <w:t xml:space="preserve"> 国</w:t>
      </w:r>
      <w:r>
        <w:rPr>
          <w:rStyle w:val="16"/>
          <w:rFonts w:hint="eastAsia" w:ascii="仿宋" w:hAnsi="仿宋" w:eastAsia="仿宋" w:cstheme="majorBidi"/>
          <w:bCs/>
          <w:color w:val="auto"/>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color w:val="auto"/>
          <w:sz w:val="28"/>
          <w:szCs w:val="28"/>
        </w:rPr>
        <w:t>十</w:t>
      </w:r>
      <w:r>
        <w:rPr>
          <w:rStyle w:val="16"/>
          <w:rFonts w:hint="eastAsia" w:ascii="仿宋" w:hAnsi="仿宋" w:eastAsia="仿宋" w:cstheme="majorBidi"/>
          <w:bCs/>
          <w:color w:val="auto"/>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"_Toc15396613" </w:instrText>
      </w:r>
      <w:r>
        <w:fldChar w:fldCharType="separate"/>
      </w:r>
      <w:r>
        <w:rPr>
          <w:rStyle w:val="16"/>
          <w:rFonts w:hint="eastAsia"/>
          <w:bCs/>
          <w:color w:val="auto"/>
          <w:kern w:val="44"/>
        </w:rPr>
        <w:t>第三部分</w:t>
      </w:r>
      <w:r>
        <w:rPr>
          <w:rStyle w:val="16"/>
          <w:rFonts w:hint="eastAsia"/>
          <w:color w:val="auto"/>
        </w:rPr>
        <w:t xml:space="preserve"> 名</w:t>
      </w:r>
      <w:r>
        <w:rPr>
          <w:rStyle w:val="16"/>
          <w:rFonts w:hint="eastAsia"/>
          <w:bCs/>
          <w:color w:val="auto"/>
          <w:kern w:val="44"/>
        </w:rPr>
        <w:t>词解释</w:t>
      </w:r>
      <w:r>
        <w:tab/>
      </w:r>
      <w:r>
        <w:fldChar w:fldCharType="begin"/>
      </w:r>
      <w:r>
        <w:instrText xml:space="preserve"> PAGEREF _Toc15396613 \h </w:instrText>
      </w:r>
      <w:r>
        <w:fldChar w:fldCharType="separate"/>
      </w:r>
      <w:r>
        <w:t>18</w:t>
      </w:r>
      <w:r>
        <w:fldChar w:fldCharType="end"/>
      </w:r>
      <w:r>
        <w:fldChar w:fldCharType="end"/>
      </w:r>
    </w:p>
    <w:p>
      <w:pPr>
        <w:pStyle w:val="10"/>
        <w:rPr>
          <w:rFonts w:cstheme="minorBidi"/>
        </w:rPr>
      </w:pPr>
      <w:r>
        <w:fldChar w:fldCharType="begin"/>
      </w:r>
      <w:r>
        <w:instrText xml:space="preserve"> HYPERLINK \l "_Toc15396614" </w:instrText>
      </w:r>
      <w:r>
        <w:fldChar w:fldCharType="separate"/>
      </w:r>
      <w:r>
        <w:rPr>
          <w:rStyle w:val="16"/>
          <w:rFonts w:hint="eastAsia"/>
          <w:color w:val="auto"/>
        </w:rPr>
        <w:t>第</w:t>
      </w:r>
      <w:r>
        <w:rPr>
          <w:rStyle w:val="16"/>
          <w:rFonts w:hint="eastAsia"/>
          <w:bCs/>
          <w:color w:val="auto"/>
          <w:kern w:val="44"/>
        </w:rPr>
        <w:t>四部分附件</w:t>
      </w:r>
      <w:r>
        <w:tab/>
      </w:r>
      <w:r>
        <w:fldChar w:fldCharType="begin"/>
      </w:r>
      <w:r>
        <w:instrText xml:space="preserve"> PAGEREF _Toc15396614 \h </w:instrText>
      </w:r>
      <w:r>
        <w:fldChar w:fldCharType="separate"/>
      </w:r>
      <w:r>
        <w:t>20</w:t>
      </w:r>
      <w:r>
        <w:fldChar w:fldCharType="end"/>
      </w:r>
      <w:r>
        <w:fldChar w:fldCharType="end"/>
      </w:r>
    </w:p>
    <w:p>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20</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color w:val="auto"/>
          <w:kern w:val="44"/>
          <w:sz w:val="28"/>
          <w:szCs w:val="28"/>
        </w:rPr>
        <w:t>附件</w:t>
      </w:r>
      <w:r>
        <w:rPr>
          <w:rStyle w:val="16"/>
          <w:rFonts w:ascii="仿宋" w:hAnsi="仿宋" w:eastAsia="仿宋"/>
          <w:color w:val="auto"/>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23</w:t>
      </w:r>
      <w:r>
        <w:rPr>
          <w:rFonts w:ascii="仿宋" w:hAnsi="仿宋" w:eastAsia="仿宋"/>
          <w:sz w:val="28"/>
          <w:szCs w:val="28"/>
        </w:rPr>
        <w:fldChar w:fldCharType="end"/>
      </w:r>
      <w:r>
        <w:rPr>
          <w:rFonts w:ascii="仿宋" w:hAnsi="仿宋" w:eastAsia="仿宋"/>
          <w:sz w:val="28"/>
          <w:szCs w:val="28"/>
        </w:rPr>
        <w:fldChar w:fldCharType="end"/>
      </w:r>
    </w:p>
    <w:p>
      <w:pPr>
        <w:pStyle w:val="10"/>
        <w:rPr>
          <w:rFonts w:cstheme="minorBidi"/>
        </w:rPr>
      </w:pPr>
      <w:r>
        <w:fldChar w:fldCharType="begin"/>
      </w:r>
      <w:r>
        <w:instrText xml:space="preserve"> HYPERLINK \l "_Toc15396618" </w:instrText>
      </w:r>
      <w:r>
        <w:fldChar w:fldCharType="separate"/>
      </w:r>
      <w:r>
        <w:rPr>
          <w:rStyle w:val="16"/>
          <w:rFonts w:hint="eastAsia"/>
          <w:color w:val="auto"/>
        </w:rPr>
        <w:t>第</w:t>
      </w:r>
      <w:r>
        <w:rPr>
          <w:rStyle w:val="16"/>
          <w:rFonts w:hint="eastAsia"/>
          <w:bCs/>
          <w:color w:val="auto"/>
          <w:kern w:val="44"/>
        </w:rPr>
        <w:t>五部分附表</w:t>
      </w:r>
      <w:r>
        <w:tab/>
      </w:r>
      <w:r>
        <w:fldChar w:fldCharType="begin"/>
      </w:r>
      <w:r>
        <w:instrText xml:space="preserve"> PAGEREF _Toc15396618 \h </w:instrText>
      </w:r>
      <w:r>
        <w:fldChar w:fldCharType="separate"/>
      </w:r>
      <w:r>
        <w:t>25</w:t>
      </w:r>
      <w:r>
        <w:fldChar w:fldCharType="end"/>
      </w:r>
      <w:r>
        <w:fldChar w:fldCharType="end"/>
      </w:r>
    </w:p>
    <w:p>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color w:val="auto"/>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color w:val="auto"/>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color w:val="auto"/>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color w:val="auto"/>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color w:val="auto"/>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color w:val="auto"/>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color w:val="auto"/>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color w:val="auto"/>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color w:val="auto"/>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color w:val="auto"/>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color w:val="auto"/>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color w:val="auto"/>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25</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sz w:val="24"/>
        </w:rPr>
      </w:pPr>
      <w:r>
        <w:rPr>
          <w:rFonts w:ascii="仿宋" w:hAnsi="仿宋" w:eastAsia="仿宋"/>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sz w:val="32"/>
          <w:szCs w:val="32"/>
        </w:rPr>
      </w:pPr>
    </w:p>
    <w:p>
      <w:pPr>
        <w:pStyle w:val="3"/>
        <w:rPr>
          <w:rStyle w:val="26"/>
          <w:rFonts w:ascii="仿宋" w:hAnsi="仿宋" w:eastAsia="仿宋"/>
          <w:b w:val="0"/>
          <w:bCs w:val="0"/>
        </w:rPr>
      </w:pPr>
      <w:bookmarkStart w:id="14" w:name="_Toc15377197"/>
      <w:bookmarkStart w:id="15"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4"/>
      <w:bookmarkEnd w:id="15"/>
    </w:p>
    <w:p>
      <w:pPr>
        <w:pStyle w:val="5"/>
        <w:adjustRightInd w:val="0"/>
        <w:snapToGrid w:val="0"/>
        <w:spacing w:before="93" w:line="600" w:lineRule="exact"/>
        <w:ind w:firstLine="672" w:firstLineChars="210"/>
        <w:outlineLvl w:val="2"/>
        <w:rPr>
          <w:rFonts w:ascii="仿宋" w:hAnsi="仿宋" w:eastAsia="仿宋"/>
          <w:bCs/>
          <w:sz w:val="32"/>
          <w:szCs w:val="32"/>
        </w:rPr>
      </w:pPr>
      <w:bookmarkStart w:id="16" w:name="_Toc15377198"/>
      <w:bookmarkStart w:id="17" w:name="_Toc15378445"/>
      <w:r>
        <w:rPr>
          <w:rFonts w:hint="eastAsia" w:ascii="仿宋" w:hAnsi="仿宋" w:eastAsia="仿宋"/>
          <w:bCs/>
          <w:sz w:val="32"/>
          <w:szCs w:val="32"/>
        </w:rPr>
        <w:t>（一）主要职能。</w:t>
      </w:r>
      <w:bookmarkEnd w:id="16"/>
      <w:bookmarkEnd w:id="17"/>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pStyle w:val="5"/>
        <w:adjustRightInd w:val="0"/>
        <w:snapToGrid w:val="0"/>
        <w:spacing w:before="93" w:line="600" w:lineRule="exact"/>
        <w:ind w:firstLine="672" w:firstLineChars="210"/>
        <w:outlineLvl w:val="2"/>
        <w:rPr>
          <w:rFonts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201</w:t>
      </w:r>
      <w:r>
        <w:rPr>
          <w:rFonts w:hint="eastAsia" w:ascii="仿宋" w:hAnsi="仿宋" w:eastAsia="仿宋"/>
          <w:bCs/>
          <w:sz w:val="32"/>
          <w:szCs w:val="32"/>
        </w:rPr>
        <w:t>8年重点工作完成情况。</w:t>
      </w:r>
      <w:bookmarkEnd w:id="18"/>
      <w:bookmarkEnd w:id="19"/>
    </w:p>
    <w:p>
      <w:pPr>
        <w:pStyle w:val="5"/>
        <w:adjustRightInd w:val="0"/>
        <w:snapToGrid w:val="0"/>
        <w:spacing w:before="93" w:line="578" w:lineRule="exact"/>
        <w:ind w:firstLine="672" w:firstLineChars="210"/>
        <w:rPr>
          <w:rFonts w:ascii="仿宋" w:hAnsi="仿宋" w:eastAsia="仿宋"/>
          <w:bCs/>
          <w:sz w:val="32"/>
          <w:szCs w:val="32"/>
        </w:rPr>
      </w:pPr>
      <w:r>
        <w:rPr>
          <w:rFonts w:hint="eastAsia" w:ascii="仿宋" w:hAnsi="仿宋" w:eastAsia="仿宋"/>
          <w:bCs/>
          <w:sz w:val="32"/>
          <w:szCs w:val="32"/>
        </w:rPr>
        <w:t>全面实施和完成对学生的教育教学任务，加强教学工作、深化教学改革，提高教育质量。继续推进学科建设工程，努力实现学科建设上层次。继续推进产学研合作，全力推动教学科研工作上水平。继续实施“人才强校”战略，着力建设高水平人才队伍。</w:t>
      </w:r>
    </w:p>
    <w:p>
      <w:pPr>
        <w:pStyle w:val="3"/>
        <w:rPr>
          <w:rStyle w:val="26"/>
          <w:b w:val="0"/>
          <w:bCs w:val="0"/>
        </w:rPr>
      </w:pPr>
      <w:bookmarkStart w:id="20" w:name="_Toc15377200"/>
      <w:bookmarkStart w:id="21"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0"/>
      <w:bookmarkEnd w:id="21"/>
    </w:p>
    <w:p>
      <w:pPr>
        <w:pStyle w:val="5"/>
        <w:adjustRightInd w:val="0"/>
        <w:snapToGrid w:val="0"/>
        <w:spacing w:before="93" w:line="578" w:lineRule="exact"/>
        <w:ind w:firstLine="672" w:firstLineChars="210"/>
        <w:rPr>
          <w:rFonts w:ascii="仿宋" w:hAnsi="仿宋" w:eastAsia="仿宋"/>
          <w:sz w:val="32"/>
          <w:szCs w:val="32"/>
        </w:rPr>
      </w:pPr>
      <w:r>
        <w:rPr>
          <w:rFonts w:hint="eastAsia" w:ascii="仿宋" w:hAnsi="仿宋" w:eastAsia="仿宋"/>
          <w:sz w:val="32"/>
          <w:szCs w:val="32"/>
        </w:rPr>
        <w:t>我校属达川区教育和科学技术局下属二级预算事业单位。单位性质属全额拨款事业单位。</w:t>
      </w:r>
    </w:p>
    <w:p>
      <w:pPr>
        <w:ind w:firstLine="800" w:firstLineChars="250"/>
        <w:rPr>
          <w:rFonts w:ascii="仿宋" w:hAnsi="仿宋" w:eastAsia="仿宋"/>
          <w:kern w:val="0"/>
          <w:sz w:val="32"/>
          <w:szCs w:val="32"/>
        </w:rPr>
      </w:pPr>
    </w:p>
    <w:p>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rPr>
        <w:t>第二部分</w:t>
      </w:r>
      <w:r>
        <w:rPr>
          <w:rStyle w:val="25"/>
          <w:rFonts w:hint="eastAsia" w:ascii="黑体" w:hAnsi="黑体" w:eastAsia="黑体"/>
          <w:b w:val="0"/>
          <w:bCs w:val="0"/>
        </w:rPr>
        <w:t>2018年度部门决算情况说明</w:t>
      </w:r>
      <w:bookmarkEnd w:id="22"/>
      <w:bookmarkEnd w:id="23"/>
    </w:p>
    <w:p/>
    <w:p>
      <w:pPr>
        <w:pStyle w:val="24"/>
        <w:numPr>
          <w:ilvl w:val="0"/>
          <w:numId w:val="1"/>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sz w:val="32"/>
          <w:szCs w:val="32"/>
        </w:rPr>
      </w:pPr>
      <w:r>
        <w:rPr>
          <w:rFonts w:hint="eastAsia" w:ascii="仿宋" w:hAnsi="仿宋" w:eastAsia="仿宋"/>
          <w:sz w:val="32"/>
          <w:szCs w:val="32"/>
        </w:rPr>
        <w:t>2018年度收、支总计1428.23万元。与2017年相比，收、支总计各减少22.44万元，下降1.55</w:t>
      </w:r>
      <w:r>
        <w:rPr>
          <w:rFonts w:ascii="仿宋" w:hAnsi="仿宋" w:eastAsia="仿宋"/>
          <w:sz w:val="32"/>
          <w:szCs w:val="32"/>
        </w:rPr>
        <w:t>%</w:t>
      </w:r>
      <w:r>
        <w:rPr>
          <w:rFonts w:hint="eastAsia" w:ascii="仿宋" w:hAnsi="仿宋" w:eastAsia="仿宋"/>
          <w:sz w:val="32"/>
          <w:szCs w:val="32"/>
        </w:rPr>
        <w:t>。主要变动原因是人员经费和项目支出减少。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1770" cy="31883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1770" cy="318833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8年本年收入合计1306.86万元，其中：一般公共预算财政拨款收入1255.04万元，占96.03%；政府性基金预算财政拨款收入51.82万元，占3.97%。</w:t>
      </w:r>
    </w:p>
    <w:p>
      <w:pPr>
        <w:ind w:firstLine="640" w:firstLineChars="200"/>
        <w:rPr>
          <w:rFonts w:ascii="仿宋" w:hAnsi="仿宋" w:eastAsia="仿宋"/>
          <w:sz w:val="32"/>
          <w:szCs w:val="32"/>
        </w:rPr>
      </w:pPr>
      <w:r>
        <w:rPr>
          <w:rFonts w:hint="eastAsia" w:ascii="仿宋" w:hAnsi="仿宋" w:eastAsia="仿宋"/>
          <w:sz w:val="32"/>
          <w:szCs w:val="32"/>
        </w:rPr>
        <w:t>（图2：收入决算结构图）（饼状图）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1770" cy="33953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71770" cy="3395345"/>
                          </a:xfrm>
                          <a:prstGeom prst="rect">
                            <a:avLst/>
                          </a:prstGeom>
                          <a:noFill/>
                          <a:ln>
                            <a:noFill/>
                          </a:ln>
                        </pic:spPr>
                      </pic:pic>
                    </a:graphicData>
                  </a:graphic>
                </wp:inline>
              </w:drawing>
            </w:r>
          </w:p>
        </w:tc>
      </w:tr>
    </w:tbl>
    <w:p>
      <w:pPr>
        <w:pStyle w:val="24"/>
        <w:numPr>
          <w:ilvl w:val="0"/>
          <w:numId w:val="1"/>
        </w:numPr>
        <w:spacing w:line="600" w:lineRule="exact"/>
        <w:ind w:firstLineChars="0"/>
        <w:outlineLvl w:val="1"/>
        <w:rPr>
          <w:rStyle w:val="26"/>
          <w:rFonts w:ascii="黑体" w:hAnsi="黑体" w:eastAsia="黑体"/>
          <w:b w:val="0"/>
        </w:rPr>
      </w:pPr>
      <w:bookmarkStart w:id="28" w:name="_Toc15377207"/>
      <w:bookmarkStart w:id="29" w:name="_Toc15396605"/>
      <w:r>
        <w:rPr>
          <w:rFonts w:hint="eastAsia" w:ascii="黑体" w:hAnsi="黑体" w:eastAsia="黑体"/>
          <w:sz w:val="32"/>
          <w:szCs w:val="32"/>
        </w:rPr>
        <w:t>支</w:t>
      </w:r>
      <w:r>
        <w:rPr>
          <w:rStyle w:val="26"/>
          <w:rFonts w:hint="eastAsia" w:ascii="黑体" w:hAnsi="黑体" w:eastAsia="黑体"/>
          <w:b w:val="0"/>
        </w:rPr>
        <w:t>出决算情况说明</w:t>
      </w:r>
      <w:bookmarkEnd w:id="28"/>
      <w:bookmarkEnd w:id="29"/>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8年本年支出合计1428.23万元，其中：基本支出1276.91万元，占89.41%；项目支出151.32万元，占10.59%。</w:t>
      </w:r>
    </w:p>
    <w:p>
      <w:pPr>
        <w:ind w:firstLine="640" w:firstLineChars="200"/>
        <w:rPr>
          <w:rFonts w:ascii="仿宋" w:hAnsi="仿宋" w:eastAsia="仿宋"/>
          <w:sz w:val="32"/>
          <w:szCs w:val="32"/>
        </w:rPr>
      </w:pPr>
      <w:r>
        <w:rPr>
          <w:rFonts w:hint="eastAsia" w:ascii="仿宋" w:hAnsi="仿宋" w:eastAsia="仿宋"/>
          <w:sz w:val="32"/>
          <w:szCs w:val="32"/>
        </w:rPr>
        <w:t>（图3：支出决算结构图）（饼状图）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_GB2312" w:eastAsia="仿宋_GB2312"/>
                <w:sz w:val="32"/>
                <w:szCs w:val="32"/>
              </w:rPr>
            </w:pPr>
            <w:r>
              <w:rPr>
                <w:rFonts w:ascii="仿宋_GB2312" w:eastAsia="仿宋_GB2312"/>
                <w:sz w:val="32"/>
                <w:szCs w:val="32"/>
              </w:rPr>
              <w:drawing>
                <wp:inline distT="0" distB="0" distL="0" distR="0">
                  <wp:extent cx="5271770" cy="33953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1770" cy="339534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0" w:name="_Toc15396606"/>
      <w:bookmarkStart w:id="31" w:name="_Toc15377208"/>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8年财政拨款收、支总计1428.23万元。与</w:t>
      </w:r>
      <w:r>
        <w:rPr>
          <w:rFonts w:ascii="仿宋" w:hAnsi="仿宋" w:eastAsia="仿宋"/>
          <w:sz w:val="32"/>
          <w:szCs w:val="32"/>
        </w:rPr>
        <w:t>201</w:t>
      </w:r>
      <w:r>
        <w:rPr>
          <w:rFonts w:hint="eastAsia" w:ascii="仿宋" w:hAnsi="仿宋" w:eastAsia="仿宋"/>
          <w:sz w:val="32"/>
          <w:szCs w:val="32"/>
        </w:rPr>
        <w:t>7年相比，财政拨款收、支总计各减少22.44万元，下降1.55%。主要变动原因是人员经费和项目支出减少。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b/>
                <w:sz w:val="32"/>
                <w:szCs w:val="32"/>
              </w:rPr>
            </w:pPr>
            <w:r>
              <w:rPr>
                <w:rFonts w:ascii="仿宋" w:hAnsi="仿宋" w:eastAsia="仿宋"/>
                <w:b/>
                <w:sz w:val="32"/>
                <w:szCs w:val="32"/>
              </w:rPr>
              <w:drawing>
                <wp:inline distT="0" distB="0" distL="0" distR="0">
                  <wp:extent cx="5271770" cy="31883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271770" cy="3188335"/>
                          </a:xfrm>
                          <a:prstGeom prst="rect">
                            <a:avLst/>
                          </a:prstGeom>
                          <a:noFill/>
                          <a:ln>
                            <a:noFill/>
                          </a:ln>
                        </pic:spPr>
                      </pic:pic>
                    </a:graphicData>
                  </a:graphic>
                </wp:inline>
              </w:drawing>
            </w:r>
          </w:p>
        </w:tc>
      </w:tr>
    </w:tbl>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2" w:firstLineChars="200"/>
        <w:outlineLvl w:val="2"/>
        <w:rPr>
          <w:rFonts w:ascii="仿宋" w:hAnsi="仿宋" w:eastAsia="仿宋"/>
          <w:b/>
          <w:sz w:val="32"/>
          <w:szCs w:val="32"/>
        </w:rPr>
      </w:pPr>
      <w:bookmarkStart w:id="34" w:name="_Toc15377210"/>
      <w:r>
        <w:rPr>
          <w:rFonts w:hint="eastAsia" w:ascii="仿宋" w:hAnsi="仿宋" w:eastAsia="仿宋"/>
          <w:b/>
          <w:sz w:val="32"/>
          <w:szCs w:val="32"/>
        </w:rPr>
        <w:t>（一）一般公共预算财政拨款支出决算总体情况</w:t>
      </w:r>
      <w:bookmarkEnd w:id="34"/>
    </w:p>
    <w:p>
      <w:pPr>
        <w:spacing w:line="600" w:lineRule="exact"/>
        <w:ind w:firstLine="640" w:firstLineChars="20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8年一般公共预算财政拨款支出1376.41万元，占本年支出合计的96.37%。与</w:t>
      </w:r>
      <w:r>
        <w:rPr>
          <w:rFonts w:ascii="仿宋" w:hAnsi="仿宋" w:eastAsia="仿宋"/>
          <w:sz w:val="32"/>
          <w:szCs w:val="32"/>
        </w:rPr>
        <w:t>201</w:t>
      </w:r>
      <w:r>
        <w:rPr>
          <w:rFonts w:hint="eastAsia" w:ascii="仿宋" w:hAnsi="仿宋" w:eastAsia="仿宋"/>
          <w:sz w:val="32"/>
          <w:szCs w:val="32"/>
        </w:rPr>
        <w:t>7年相比，一般公共预算财政拨款减少74.26万元，下降5.12%。主要变动原因是人员经费和项目支出减少。</w:t>
      </w:r>
    </w:p>
    <w:p>
      <w:pPr>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1770" cy="31883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1770" cy="3188335"/>
                          </a:xfrm>
                          <a:prstGeom prst="rect">
                            <a:avLst/>
                          </a:prstGeom>
                          <a:noFill/>
                          <a:ln>
                            <a:noFill/>
                          </a:ln>
                        </pic:spPr>
                      </pic:pic>
                    </a:graphicData>
                  </a:graphic>
                </wp:inline>
              </w:drawing>
            </w:r>
          </w:p>
        </w:tc>
      </w:tr>
    </w:tbl>
    <w:p>
      <w:pPr>
        <w:spacing w:line="600" w:lineRule="exact"/>
        <w:ind w:firstLine="642" w:firstLineChars="200"/>
        <w:outlineLvl w:val="2"/>
        <w:rPr>
          <w:rFonts w:ascii="仿宋" w:hAnsi="仿宋" w:eastAsia="仿宋"/>
          <w:b/>
          <w:sz w:val="32"/>
          <w:szCs w:val="32"/>
        </w:rPr>
      </w:pPr>
      <w:bookmarkStart w:id="35" w:name="_Toc15377211"/>
      <w:r>
        <w:rPr>
          <w:rFonts w:hint="eastAsia" w:ascii="仿宋" w:hAnsi="仿宋" w:eastAsia="仿宋"/>
          <w:b/>
          <w:sz w:val="32"/>
          <w:szCs w:val="32"/>
        </w:rPr>
        <w:t>（二）一般公共预算财政拨款支出决算结构情况</w:t>
      </w:r>
      <w:bookmarkEnd w:id="3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8年一般公共预算财政拨款支出1376.41万元，主要用于以下方面</w:t>
      </w:r>
      <w:r>
        <w:rPr>
          <w:rFonts w:ascii="仿宋" w:hAnsi="仿宋" w:eastAsia="仿宋"/>
          <w:sz w:val="32"/>
          <w:szCs w:val="32"/>
        </w:rPr>
        <w:t>:</w:t>
      </w:r>
      <w:r>
        <w:rPr>
          <w:rFonts w:hint="eastAsia" w:ascii="仿宋" w:hAnsi="仿宋" w:eastAsia="仿宋"/>
          <w:sz w:val="32"/>
          <w:szCs w:val="32"/>
        </w:rPr>
        <w:t>教育（类）支出1162.86万元，占84.49%；社会保障和就业（类）支出115.2万元，占8.37%；医疗卫生与计划生育（类）支出34.74万元，占2.52%；住房保障（类）支出63.61万元，占4.62%。</w:t>
      </w:r>
    </w:p>
    <w:p>
      <w:pPr>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1770" cy="33953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1770" cy="3395345"/>
                          </a:xfrm>
                          <a:prstGeom prst="rect">
                            <a:avLst/>
                          </a:prstGeom>
                          <a:noFill/>
                          <a:ln>
                            <a:noFill/>
                          </a:ln>
                        </pic:spPr>
                      </pic:pic>
                    </a:graphicData>
                  </a:graphic>
                </wp:inline>
              </w:drawing>
            </w:r>
          </w:p>
        </w:tc>
      </w:tr>
    </w:tbl>
    <w:p>
      <w:pPr>
        <w:spacing w:line="600" w:lineRule="exact"/>
        <w:ind w:firstLine="642" w:firstLineChars="200"/>
        <w:outlineLvl w:val="2"/>
        <w:rPr>
          <w:rFonts w:ascii="仿宋" w:hAnsi="仿宋" w:eastAsia="仿宋"/>
          <w:b/>
          <w:sz w:val="32"/>
          <w:szCs w:val="32"/>
        </w:rPr>
      </w:pPr>
      <w:bookmarkStart w:id="36" w:name="_Toc15377212"/>
      <w:r>
        <w:rPr>
          <w:rFonts w:hint="eastAsia" w:ascii="仿宋" w:hAnsi="仿宋" w:eastAsia="仿宋"/>
          <w:b/>
          <w:sz w:val="32"/>
          <w:szCs w:val="32"/>
        </w:rPr>
        <w:t>（三）一般公共预算财政拨款支出决算具体情况</w:t>
      </w:r>
      <w:bookmarkEnd w:id="36"/>
    </w:p>
    <w:p>
      <w:pPr>
        <w:spacing w:line="600" w:lineRule="exact"/>
        <w:ind w:firstLine="642" w:firstLineChars="200"/>
        <w:outlineLvl w:val="2"/>
        <w:rPr>
          <w:rFonts w:ascii="仿宋" w:hAnsi="仿宋" w:eastAsia="仿宋"/>
          <w:sz w:val="32"/>
          <w:szCs w:val="32"/>
        </w:rPr>
      </w:pPr>
      <w:bookmarkStart w:id="37" w:name="_Toc15378460"/>
      <w:bookmarkStart w:id="38" w:name="_Toc15377213"/>
      <w:bookmarkStart w:id="39" w:name="_Toc15377444"/>
      <w:r>
        <w:rPr>
          <w:rFonts w:hint="eastAsia" w:ascii="仿宋" w:hAnsi="仿宋" w:eastAsia="仿宋"/>
          <w:b/>
          <w:sz w:val="32"/>
          <w:szCs w:val="32"/>
        </w:rPr>
        <w:t>2018年一般公共预算支出决算数为1376.41万元</w:t>
      </w:r>
      <w:r>
        <w:rPr>
          <w:rFonts w:hint="eastAsia" w:ascii="仿宋" w:hAnsi="仿宋" w:eastAsia="仿宋"/>
          <w:sz w:val="32"/>
          <w:szCs w:val="32"/>
        </w:rPr>
        <w:t>，</w:t>
      </w:r>
      <w:r>
        <w:rPr>
          <w:rStyle w:val="15"/>
          <w:rFonts w:hint="eastAsia" w:ascii="仿宋" w:hAnsi="仿宋" w:eastAsia="仿宋"/>
          <w:bCs/>
          <w:sz w:val="32"/>
          <w:szCs w:val="32"/>
        </w:rPr>
        <w:t>完成预算100</w:t>
      </w:r>
      <w:r>
        <w:rPr>
          <w:rStyle w:val="15"/>
          <w:rFonts w:ascii="仿宋" w:hAnsi="仿宋" w:eastAsia="仿宋"/>
          <w:bCs/>
          <w:sz w:val="32"/>
          <w:szCs w:val="32"/>
        </w:rPr>
        <w:t>%</w:t>
      </w:r>
      <w:r>
        <w:rPr>
          <w:rStyle w:val="15"/>
          <w:rFonts w:hint="eastAsia" w:ascii="仿宋" w:hAnsi="仿宋" w:eastAsia="仿宋"/>
          <w:bCs/>
          <w:sz w:val="32"/>
          <w:szCs w:val="32"/>
        </w:rPr>
        <w:t>。其中：</w:t>
      </w:r>
      <w:bookmarkEnd w:id="37"/>
      <w:bookmarkEnd w:id="38"/>
      <w:bookmarkEnd w:id="39"/>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Style w:val="15"/>
          <w:rFonts w:hint="eastAsia" w:ascii="仿宋" w:hAnsi="仿宋" w:eastAsia="仿宋"/>
          <w:bCs/>
          <w:sz w:val="32"/>
          <w:szCs w:val="32"/>
        </w:rPr>
        <w:t>教育205（类）02（款）</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1162.86</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Style w:val="15"/>
          <w:rFonts w:hint="eastAsia" w:ascii="仿宋" w:hAnsi="仿宋" w:eastAsia="仿宋"/>
          <w:bCs/>
          <w:sz w:val="32"/>
          <w:szCs w:val="32"/>
        </w:rPr>
        <w:t>社会保障和就业208（类）05（款）05（项）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115.2</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Style w:val="15"/>
          <w:rFonts w:ascii="仿宋" w:hAnsi="仿宋" w:eastAsia="仿宋"/>
          <w:b w:val="0"/>
          <w:bCs/>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Style w:val="15"/>
          <w:rFonts w:hint="eastAsia" w:ascii="仿宋" w:hAnsi="仿宋" w:eastAsia="仿宋"/>
          <w:bCs/>
          <w:sz w:val="32"/>
          <w:szCs w:val="32"/>
        </w:rPr>
        <w:t>医疗卫生与计划生育210（类）11（款）02（项）</w:t>
      </w:r>
      <w:r>
        <w:rPr>
          <w:rStyle w:val="15"/>
          <w:rFonts w:ascii="仿宋" w:hAnsi="仿宋" w:eastAsia="仿宋"/>
          <w:bCs/>
          <w:sz w:val="32"/>
          <w:szCs w:val="32"/>
        </w:rPr>
        <w:t>:</w:t>
      </w:r>
      <w:r>
        <w:rPr>
          <w:rStyle w:val="15"/>
          <w:rFonts w:hint="eastAsia" w:ascii="仿宋" w:hAnsi="仿宋" w:eastAsia="仿宋"/>
          <w:b w:val="0"/>
          <w:bCs/>
          <w:sz w:val="32"/>
          <w:szCs w:val="32"/>
        </w:rPr>
        <w:t>支出决算为</w:t>
      </w:r>
      <w:r>
        <w:rPr>
          <w:rFonts w:hint="eastAsia" w:ascii="仿宋" w:hAnsi="仿宋" w:eastAsia="仿宋"/>
          <w:sz w:val="32"/>
          <w:szCs w:val="32"/>
        </w:rPr>
        <w:t>34.74</w:t>
      </w:r>
      <w:r>
        <w:rPr>
          <w:rStyle w:val="15"/>
          <w:rFonts w:hint="eastAsia" w:ascii="仿宋" w:hAnsi="仿宋" w:eastAsia="仿宋"/>
          <w:b w:val="0"/>
          <w:bCs/>
          <w:sz w:val="32"/>
          <w:szCs w:val="32"/>
        </w:rPr>
        <w:t>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spacing w:line="600" w:lineRule="exact"/>
        <w:ind w:firstLine="642" w:firstLineChars="200"/>
        <w:rPr>
          <w:rStyle w:val="15"/>
          <w:rFonts w:ascii="仿宋" w:hAnsi="仿宋" w:eastAsia="仿宋"/>
          <w:b w:val="0"/>
          <w:bCs/>
          <w:sz w:val="32"/>
          <w:szCs w:val="32"/>
        </w:rPr>
      </w:pPr>
      <w:r>
        <w:rPr>
          <w:rFonts w:hint="eastAsia" w:ascii="仿宋" w:hAnsi="仿宋" w:eastAsia="仿宋"/>
          <w:b/>
          <w:sz w:val="32"/>
          <w:szCs w:val="32"/>
        </w:rPr>
        <w:t>4.住房保障221</w:t>
      </w:r>
      <w:r>
        <w:rPr>
          <w:rStyle w:val="15"/>
          <w:rFonts w:hint="eastAsia" w:ascii="仿宋" w:hAnsi="仿宋" w:eastAsia="仿宋"/>
          <w:b w:val="0"/>
          <w:bCs/>
          <w:sz w:val="32"/>
          <w:szCs w:val="32"/>
        </w:rPr>
        <w:t>（类）</w:t>
      </w:r>
      <w:r>
        <w:rPr>
          <w:rFonts w:hint="eastAsia" w:ascii="仿宋" w:hAnsi="仿宋" w:eastAsia="仿宋"/>
          <w:b/>
          <w:sz w:val="32"/>
          <w:szCs w:val="32"/>
        </w:rPr>
        <w:t>02</w:t>
      </w:r>
      <w:r>
        <w:rPr>
          <w:rStyle w:val="15"/>
          <w:rFonts w:hint="eastAsia" w:ascii="仿宋" w:hAnsi="仿宋" w:eastAsia="仿宋"/>
          <w:b w:val="0"/>
          <w:bCs/>
          <w:sz w:val="32"/>
          <w:szCs w:val="32"/>
        </w:rPr>
        <w:t>（款）</w:t>
      </w:r>
      <w:r>
        <w:rPr>
          <w:rFonts w:hint="eastAsia" w:ascii="仿宋" w:hAnsi="仿宋" w:eastAsia="仿宋"/>
          <w:b/>
          <w:sz w:val="32"/>
          <w:szCs w:val="32"/>
        </w:rPr>
        <w:t>01</w:t>
      </w:r>
      <w:r>
        <w:rPr>
          <w:rStyle w:val="15"/>
          <w:rFonts w:hint="eastAsia" w:ascii="仿宋" w:hAnsi="仿宋" w:eastAsia="仿宋"/>
          <w:b w:val="0"/>
          <w:bCs/>
          <w:sz w:val="32"/>
          <w:szCs w:val="32"/>
        </w:rPr>
        <w:t>（项）</w:t>
      </w:r>
      <w:r>
        <w:rPr>
          <w:rStyle w:val="15"/>
          <w:rFonts w:hint="eastAsia" w:ascii="仿宋" w:hAnsi="仿宋" w:eastAsia="仿宋"/>
          <w:bCs/>
          <w:sz w:val="32"/>
          <w:szCs w:val="32"/>
        </w:rPr>
        <w:t>:</w:t>
      </w:r>
      <w:r>
        <w:rPr>
          <w:rFonts w:hint="eastAsia" w:ascii="仿宋" w:hAnsi="仿宋" w:eastAsia="仿宋"/>
          <w:sz w:val="32"/>
          <w:szCs w:val="32"/>
        </w:rPr>
        <w:t>支出</w:t>
      </w:r>
      <w:r>
        <w:rPr>
          <w:rStyle w:val="15"/>
          <w:rFonts w:hint="eastAsia" w:ascii="仿宋" w:hAnsi="仿宋" w:eastAsia="仿宋"/>
          <w:b w:val="0"/>
          <w:bCs/>
          <w:sz w:val="32"/>
          <w:szCs w:val="32"/>
        </w:rPr>
        <w:t>决算</w:t>
      </w:r>
      <w:r>
        <w:rPr>
          <w:rFonts w:hint="eastAsia" w:ascii="仿宋" w:hAnsi="仿宋" w:eastAsia="仿宋"/>
          <w:sz w:val="32"/>
          <w:szCs w:val="32"/>
        </w:rPr>
        <w:t>63.61万元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8年一般公共预算财政拨款基本支出1276.91万元，其中：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938.15万元，主要包括：基本工资、津贴补贴、奖金、伙食补助费、绩效工资、机关事业单位基本养老保险费、职业年金缴费、职工基本医疗保险缴费、其他社会保障缴费、住房公积金、生活补助、助学金、其他个人和家庭的补助支出等。</w:t>
      </w:r>
    </w:p>
    <w:p>
      <w:pPr>
        <w:spacing w:line="600" w:lineRule="exact"/>
        <w:ind w:firstLine="645"/>
        <w:rPr>
          <w:rFonts w:ascii="仿宋" w:hAnsi="仿宋" w:eastAsia="仿宋"/>
          <w:sz w:val="32"/>
          <w:szCs w:val="32"/>
        </w:rPr>
      </w:pPr>
      <w:r>
        <w:rPr>
          <w:rFonts w:hint="eastAsia" w:ascii="仿宋" w:hAnsi="仿宋" w:eastAsia="仿宋"/>
          <w:sz w:val="32"/>
          <w:szCs w:val="32"/>
        </w:rPr>
        <w:t>公用经费338.75万元，主要包括：办公费、咨询费、水费、电费、差旅费、维修（护）费、会议费、培训费、公务接待费、专用材料费、劳务费、工会经费、其他交通费用、其他商品和服务支出、办公设备购置等。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sz w:val="32"/>
          <w:szCs w:val="32"/>
        </w:rPr>
      </w:pPr>
      <w:bookmarkStart w:id="44" w:name="_Toc15377216"/>
      <w:r>
        <w:rPr>
          <w:rFonts w:hint="eastAsia" w:ascii="仿宋" w:hAnsi="仿宋" w:eastAsia="仿宋"/>
          <w:b/>
          <w:sz w:val="32"/>
          <w:szCs w:val="32"/>
        </w:rPr>
        <w:t>（一）“三公”经费财政拨款支出决算总体情况说明</w:t>
      </w:r>
      <w:bookmarkEnd w:id="44"/>
    </w:p>
    <w:p>
      <w:pPr>
        <w:spacing w:line="600" w:lineRule="exact"/>
        <w:ind w:firstLine="640"/>
        <w:rPr>
          <w:rFonts w:ascii="仿宋" w:hAnsi="仿宋" w:eastAsia="仿宋"/>
          <w:b/>
          <w:sz w:val="32"/>
          <w:szCs w:val="32"/>
        </w:rPr>
      </w:pPr>
      <w:r>
        <w:rPr>
          <w:rFonts w:ascii="仿宋" w:hAnsi="仿宋" w:eastAsia="仿宋"/>
          <w:sz w:val="32"/>
          <w:szCs w:val="32"/>
        </w:rPr>
        <w:t>201</w:t>
      </w:r>
      <w:r>
        <w:rPr>
          <w:rFonts w:hint="eastAsia" w:ascii="仿宋" w:hAnsi="仿宋" w:eastAsia="仿宋"/>
          <w:sz w:val="32"/>
          <w:szCs w:val="32"/>
        </w:rPr>
        <w:t>8年“三公”经费财政拨款支出决算为0.57万元，完成预算100</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5" w:name="_Toc15377217"/>
      <w:r>
        <w:rPr>
          <w:rFonts w:hint="eastAsia" w:ascii="仿宋" w:hAnsi="仿宋" w:eastAsia="仿宋"/>
          <w:b/>
          <w:sz w:val="32"/>
          <w:szCs w:val="32"/>
        </w:rPr>
        <w:t>（二）“三公”经费财政拨款支出决算具体情况说明</w:t>
      </w:r>
      <w:bookmarkEnd w:id="45"/>
    </w:p>
    <w:p>
      <w:pPr>
        <w:spacing w:line="600" w:lineRule="exact"/>
        <w:ind w:firstLine="640"/>
        <w:rPr>
          <w:rFonts w:ascii="仿宋" w:hAnsi="仿宋" w:eastAsia="仿宋"/>
          <w:sz w:val="32"/>
          <w:szCs w:val="32"/>
        </w:rPr>
      </w:pPr>
      <w:r>
        <w:rPr>
          <w:rFonts w:ascii="仿宋" w:hAnsi="仿宋" w:eastAsia="仿宋"/>
          <w:sz w:val="32"/>
          <w:szCs w:val="32"/>
        </w:rPr>
        <w:t>201</w:t>
      </w:r>
      <w:r>
        <w:rPr>
          <w:rFonts w:hint="eastAsia" w:ascii="仿宋" w:hAnsi="仿宋" w:eastAsia="仿宋"/>
          <w:sz w:val="32"/>
          <w:szCs w:val="32"/>
        </w:rPr>
        <w:t>8年“三公”经费财政拨款支出决算中，因公出国（境）费支出决算0万元，占0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；公务接待费支出决算0.57万元，占100</w:t>
      </w:r>
      <w:r>
        <w:rPr>
          <w:rFonts w:ascii="仿宋" w:hAnsi="仿宋" w:eastAsia="仿宋"/>
          <w:sz w:val="32"/>
          <w:szCs w:val="32"/>
        </w:rPr>
        <w:t>%</w:t>
      </w:r>
      <w:r>
        <w:rPr>
          <w:rFonts w:hint="eastAsia" w:ascii="仿宋" w:hAnsi="仿宋" w:eastAsia="仿宋"/>
          <w:sz w:val="32"/>
          <w:szCs w:val="32"/>
        </w:rPr>
        <w:t>。具体情况如下：</w:t>
      </w:r>
    </w:p>
    <w:p>
      <w:pPr>
        <w:ind w:firstLine="640"/>
        <w:rPr>
          <w:rFonts w:ascii="仿宋" w:hAnsi="仿宋" w:eastAsia="仿宋"/>
          <w:sz w:val="32"/>
          <w:szCs w:val="32"/>
        </w:rPr>
      </w:pPr>
      <w:r>
        <w:rPr>
          <w:rFonts w:hint="eastAsia" w:ascii="仿宋" w:hAnsi="仿宋" w:eastAsia="仿宋"/>
          <w:sz w:val="32"/>
          <w:szCs w:val="32"/>
        </w:rPr>
        <w:t>（图7：“三公”经费财政拨款支出结构）（饼状图）</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rPr>
                <w:rFonts w:ascii="仿宋" w:hAnsi="仿宋" w:eastAsia="仿宋"/>
                <w:sz w:val="32"/>
                <w:szCs w:val="32"/>
              </w:rPr>
            </w:pPr>
            <w:r>
              <w:rPr>
                <w:rFonts w:ascii="仿宋" w:hAnsi="仿宋" w:eastAsia="仿宋"/>
                <w:sz w:val="32"/>
                <w:szCs w:val="32"/>
              </w:rPr>
              <w:drawing>
                <wp:inline distT="0" distB="0" distL="0" distR="0">
                  <wp:extent cx="5271770" cy="339534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1770" cy="3395345"/>
                          </a:xfrm>
                          <a:prstGeom prst="rect">
                            <a:avLst/>
                          </a:prstGeom>
                          <a:noFill/>
                          <a:ln>
                            <a:noFill/>
                          </a:ln>
                        </pic:spPr>
                      </pic:pic>
                    </a:graphicData>
                  </a:graphic>
                </wp:inline>
              </w:drawing>
            </w:r>
          </w:p>
        </w:tc>
      </w:tr>
    </w:tbl>
    <w:p>
      <w:pPr>
        <w:spacing w:line="600" w:lineRule="exact"/>
        <w:ind w:firstLine="64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 w:hAnsi="仿宋" w:eastAsia="仿宋"/>
          <w:sz w:val="32"/>
          <w:szCs w:val="32"/>
        </w:rPr>
        <w:t>0.57</w:t>
      </w:r>
      <w:r>
        <w:rPr>
          <w:rFonts w:hint="eastAsia" w:ascii="仿宋_GB2312" w:eastAsia="仿宋_GB2312"/>
          <w:sz w:val="32"/>
          <w:szCs w:val="32"/>
        </w:rPr>
        <w:t>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 w:hAnsi="仿宋" w:eastAsia="仿宋"/>
          <w:sz w:val="32"/>
          <w:szCs w:val="32"/>
        </w:rPr>
        <w:t>公务接待费支出决算比上年减少0.11万元</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主要用于执行公务、开展业务活动开支的交通费、住宿费、用餐费等。国内公务接待</w:t>
      </w:r>
      <w:r>
        <w:rPr>
          <w:rFonts w:ascii="仿宋_GB2312" w:eastAsia="仿宋_GB2312"/>
          <w:sz w:val="32"/>
          <w:szCs w:val="32"/>
        </w:rPr>
        <w:t>12</w:t>
      </w:r>
      <w:r>
        <w:rPr>
          <w:rFonts w:hint="eastAsia" w:ascii="仿宋_GB2312" w:eastAsia="仿宋_GB2312"/>
          <w:sz w:val="32"/>
          <w:szCs w:val="32"/>
        </w:rPr>
        <w:t>批次，</w:t>
      </w:r>
      <w:r>
        <w:rPr>
          <w:rFonts w:ascii="仿宋_GB2312" w:eastAsia="仿宋_GB2312"/>
          <w:sz w:val="32"/>
          <w:szCs w:val="32"/>
        </w:rPr>
        <w:t>150</w:t>
      </w:r>
      <w:r>
        <w:rPr>
          <w:rFonts w:hint="eastAsia" w:ascii="仿宋_GB2312" w:eastAsia="仿宋_GB2312"/>
          <w:sz w:val="32"/>
          <w:szCs w:val="32"/>
        </w:rPr>
        <w:t>人次（不包括陪同人员），共计支出</w:t>
      </w:r>
      <w:r>
        <w:rPr>
          <w:rFonts w:hint="eastAsia" w:ascii="仿宋" w:hAnsi="仿宋" w:eastAsia="仿宋"/>
          <w:sz w:val="32"/>
          <w:szCs w:val="32"/>
        </w:rPr>
        <w:t>0.57</w:t>
      </w:r>
      <w:r>
        <w:rPr>
          <w:rFonts w:hint="eastAsia" w:ascii="仿宋_GB2312" w:eastAsia="仿宋_GB2312"/>
          <w:sz w:val="32"/>
          <w:szCs w:val="32"/>
        </w:rPr>
        <w:t>万元。</w:t>
      </w:r>
    </w:p>
    <w:p>
      <w:pPr>
        <w:spacing w:line="600" w:lineRule="exact"/>
        <w:ind w:firstLine="640"/>
        <w:outlineLvl w:val="1"/>
        <w:rPr>
          <w:rStyle w:val="26"/>
          <w:rFonts w:ascii="黑体" w:hAnsi="黑体" w:eastAsia="黑体"/>
        </w:rPr>
      </w:pPr>
      <w:bookmarkStart w:id="46" w:name="_Toc15377218"/>
      <w:bookmarkStart w:id="47" w:name="_Toc15396610"/>
      <w:r>
        <w:rPr>
          <w:rFonts w:hint="eastAsia" w:ascii="黑体" w:eastAsia="黑体"/>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8年政府性基金预算拨款支出</w:t>
      </w:r>
      <w:r>
        <w:rPr>
          <w:rFonts w:hint="eastAsia" w:ascii="仿宋" w:hAnsi="仿宋" w:eastAsia="仿宋"/>
          <w:sz w:val="32"/>
          <w:szCs w:val="32"/>
        </w:rPr>
        <w:t>51.82</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201</w:t>
      </w:r>
      <w:r>
        <w:rPr>
          <w:rFonts w:hint="eastAsia" w:ascii="仿宋_GB2312" w:eastAsia="仿宋_GB2312"/>
          <w:sz w:val="32"/>
          <w:szCs w:val="32"/>
        </w:rPr>
        <w:t>8年国有资本经营预算拨款支出0万元。</w:t>
      </w:r>
    </w:p>
    <w:p>
      <w:pPr>
        <w:pStyle w:val="24"/>
        <w:numPr>
          <w:ilvl w:val="0"/>
          <w:numId w:val="3"/>
        </w:numPr>
        <w:spacing w:line="580" w:lineRule="exact"/>
        <w:ind w:firstLineChars="0"/>
        <w:rPr>
          <w:rStyle w:val="26"/>
          <w:rFonts w:ascii="黑体" w:hAnsi="黑体" w:eastAsia="黑体"/>
          <w:b w:val="0"/>
        </w:rPr>
      </w:pPr>
      <w:r>
        <w:rPr>
          <w:rStyle w:val="26"/>
          <w:rFonts w:hint="eastAsia" w:ascii="黑体" w:hAnsi="黑体" w:eastAsia="黑体"/>
          <w:b w:val="0"/>
        </w:rPr>
        <w:t>预算绩效情况说明</w:t>
      </w:r>
    </w:p>
    <w:p>
      <w:pPr>
        <w:numPr>
          <w:ilvl w:val="0"/>
          <w:numId w:val="4"/>
        </w:numPr>
        <w:spacing w:line="580" w:lineRule="exact"/>
        <w:ind w:firstLine="642"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校在年初预算编制阶段，组织对民生工程、民生工程以外人员经费、办公经费项目开展了预算事前绩效评估，对民生工程、民生工程以外人员经费、办公经费项目编制了绩效目标，预算执行过程中，选取民生工程以外人员经费项目开展绩效监控，年终执行完毕后，对民生工程以外人员经费项目开展了绩效目标完成情况梳理填报。</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开展绩效自评，从评价情况来看完成了年度主要任务，严格控制经费合理正确使用。本部门还自行组织了民生工程以外人员经费项目绩效评价，从评价情况来看圆满完成了该项目的预算目标，数量指标、质量指标、时效指标、满意度指标均达100%。</w:t>
      </w:r>
    </w:p>
    <w:p>
      <w:pPr>
        <w:numPr>
          <w:ilvl w:val="0"/>
          <w:numId w:val="4"/>
        </w:numPr>
        <w:spacing w:line="580" w:lineRule="exact"/>
        <w:ind w:firstLine="642"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本部门在2018年度部门决算中反映“民生工程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 民生工程以外人员经费</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“办公经费”等3个项目绩效目标实际完成情况。</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民生工程项目绩效目标完成情况综述。项目全年预算数</w:t>
      </w:r>
      <w:r>
        <w:rPr>
          <w:rFonts w:hint="eastAsia" w:ascii="仿宋" w:hAnsi="仿宋" w:eastAsia="仿宋"/>
          <w:sz w:val="32"/>
          <w:szCs w:val="32"/>
        </w:rPr>
        <w:t>156.71</w:t>
      </w:r>
      <w:r>
        <w:rPr>
          <w:rFonts w:hint="eastAsia" w:ascii="仿宋_GB2312" w:hAnsi="仿宋_GB2312" w:eastAsia="仿宋_GB2312" w:cs="仿宋_GB2312"/>
          <w:sz w:val="32"/>
          <w:szCs w:val="32"/>
        </w:rPr>
        <w:t>万元，执行数为</w:t>
      </w:r>
      <w:r>
        <w:rPr>
          <w:rFonts w:hint="eastAsia" w:ascii="仿宋" w:hAnsi="仿宋" w:eastAsia="仿宋"/>
          <w:sz w:val="32"/>
          <w:szCs w:val="32"/>
        </w:rPr>
        <w:t>156.71</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全体学生健康成长，家庭贫困学生顺利入学。发现的主要问题：学生在享受资助上卡时，提供卡号信息有误，导致不能及时得到资助。下一步改进措施：打卡前充分核对卡号，确保准确无误。</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民生工程以外人员经费项目绩效目标完成情况综述。项目全年预算数</w:t>
      </w:r>
      <w:r>
        <w:rPr>
          <w:rFonts w:hint="eastAsia" w:ascii="仿宋" w:hAnsi="仿宋" w:eastAsia="仿宋"/>
          <w:sz w:val="32"/>
          <w:szCs w:val="32"/>
        </w:rPr>
        <w:t>781.44</w:t>
      </w:r>
      <w:r>
        <w:rPr>
          <w:rFonts w:hint="eastAsia" w:ascii="仿宋_GB2312" w:hAnsi="仿宋_GB2312" w:eastAsia="仿宋_GB2312" w:cs="仿宋_GB2312"/>
          <w:sz w:val="32"/>
          <w:szCs w:val="32"/>
        </w:rPr>
        <w:t>万元，执行数为</w:t>
      </w:r>
      <w:r>
        <w:rPr>
          <w:rFonts w:hint="eastAsia" w:ascii="仿宋" w:hAnsi="仿宋" w:eastAsia="仿宋"/>
          <w:sz w:val="32"/>
          <w:szCs w:val="32"/>
        </w:rPr>
        <w:t>781.44</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%。通过项目实施，保障了教职工的各项合法权益，调动了全体教职工的工作积极性。发现的主要问题：无。</w:t>
      </w:r>
    </w:p>
    <w:p>
      <w:pPr>
        <w:numPr>
          <w:ilvl w:val="0"/>
          <w:numId w:val="5"/>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办公经费项目绩效目标完成情况综述。项目全年预算数</w:t>
      </w:r>
      <w:r>
        <w:rPr>
          <w:rFonts w:hint="eastAsia" w:ascii="仿宋" w:hAnsi="仿宋" w:eastAsia="仿宋"/>
          <w:sz w:val="32"/>
          <w:szCs w:val="32"/>
        </w:rPr>
        <w:t>338.75</w:t>
      </w:r>
      <w:r>
        <w:rPr>
          <w:rFonts w:hint="eastAsia" w:ascii="仿宋_GB2312" w:hAnsi="仿宋_GB2312" w:eastAsia="仿宋_GB2312" w:cs="仿宋_GB2312"/>
          <w:sz w:val="32"/>
          <w:szCs w:val="32"/>
        </w:rPr>
        <w:t>万元，执行数为</w:t>
      </w:r>
      <w:r>
        <w:rPr>
          <w:rFonts w:hint="eastAsia" w:ascii="仿宋" w:hAnsi="仿宋" w:eastAsia="仿宋"/>
          <w:sz w:val="32"/>
          <w:szCs w:val="32"/>
        </w:rPr>
        <w:t>338.75</w:t>
      </w:r>
      <w:r>
        <w:rPr>
          <w:rFonts w:hint="eastAsia" w:ascii="仿宋_GB2312" w:hAnsi="仿宋_GB2312" w:eastAsia="仿宋_GB2312" w:cs="仿宋_GB2312"/>
          <w:sz w:val="32"/>
          <w:szCs w:val="32"/>
        </w:rPr>
        <w:t>万元，完成预算的</w:t>
      </w:r>
      <w:r>
        <w:rPr>
          <w:rFonts w:hint="eastAsia" w:ascii="仿宋" w:hAnsi="仿宋" w:eastAsia="仿宋"/>
          <w:sz w:val="32"/>
          <w:szCs w:val="32"/>
        </w:rPr>
        <w:t>100</w:t>
      </w:r>
      <w:r>
        <w:rPr>
          <w:rFonts w:hint="eastAsia" w:ascii="仿宋_GB2312" w:hAnsi="仿宋_GB2312" w:eastAsia="仿宋_GB2312" w:cs="仿宋_GB2312"/>
          <w:sz w:val="32"/>
          <w:szCs w:val="32"/>
        </w:rPr>
        <w:t>%。通过项目实施，保障学校正常开展的各项活动，发现的主要问题：无。</w:t>
      </w: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达川区管村初级中学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156.71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156.71</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156.71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156.71</w:t>
            </w:r>
          </w:p>
        </w:tc>
      </w:tr>
      <w:tr>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足额发放免作业本费、学生营养餐、贫困住校生补助、食堂购买服务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及时发放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学生家庭享受资助情况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学生全部及时得到资助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民生工程以外人员经费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达川区管村初级中学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781.44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781.44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781.44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781.44</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足额发放在职教师工资、购买养老保险、职业年金、医保、工伤、住房公积金、工会经费及临聘人员的工资补助</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按既定目标全额发放</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人员经费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应享尽享</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w:t>
            </w:r>
          </w:p>
        </w:tc>
      </w:tr>
    </w:tbl>
    <w:p>
      <w:pPr>
        <w:spacing w:line="580" w:lineRule="exact"/>
        <w:ind w:left="640"/>
        <w:rPr>
          <w:rFonts w:ascii="仿宋" w:hAnsi="仿宋" w:eastAsia="仿宋" w:cs="仿宋_GB2312"/>
          <w:sz w:val="32"/>
          <w:szCs w:val="32"/>
        </w:rPr>
      </w:pPr>
    </w:p>
    <w:tbl>
      <w:tblPr>
        <w:tblStyle w:val="12"/>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24"/>
              <w:widowControl/>
              <w:ind w:left="4173" w:leftChars="1310" w:hanging="1422" w:hangingChars="395"/>
              <w:textAlignment w:val="center"/>
              <w:rPr>
                <w:rFonts w:ascii="宋体" w:hAnsi="宋体" w:cs="宋体"/>
                <w:sz w:val="36"/>
                <w:szCs w:val="36"/>
              </w:rPr>
            </w:pPr>
            <w:r>
              <w:rPr>
                <w:rFonts w:hint="eastAsia" w:ascii="黑体" w:hAnsi="黑体" w:eastAsia="黑体" w:cs="宋体"/>
                <w:bCs/>
                <w:kern w:val="0"/>
                <w:sz w:val="36"/>
                <w:szCs w:val="36"/>
              </w:rPr>
              <w:t>项目支出绩效目标完成情况表</w:t>
            </w:r>
            <w:r>
              <w:rPr>
                <w:rFonts w:hint="eastAsia" w:ascii="宋体" w:hAnsi="宋体" w:cs="宋体"/>
                <w:b/>
                <w:bCs/>
                <w:kern w:val="0"/>
                <w:sz w:val="36"/>
                <w:szCs w:val="36"/>
              </w:rPr>
              <w:br w:type="textWrapping"/>
            </w:r>
            <w:r>
              <w:rPr>
                <w:rFonts w:hint="eastAsia" w:ascii="宋体" w:hAnsi="宋体" w:cs="宋体"/>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达川区管村初级中学</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338.75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338.75</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338.75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ascii="宋体" w:hAnsi="宋体" w:cs="宋体"/>
                <w:sz w:val="24"/>
              </w:rPr>
              <w:t>338.75</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sz w:val="24"/>
              </w:rPr>
            </w:pPr>
            <w:r>
              <w:rPr>
                <w:rFonts w:hint="eastAsia" w:ascii="宋体" w:hAnsi="宋体" w:cs="宋体"/>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足额补助学校的办公经费包括办公费、电费、邮电费、差旅费、培训费、维修（护）费、公务接待费、专用材料费及其他商服务支出等办公经费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按既定目标全额补助</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办公经费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应补尽补</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专款专用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足额补助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时效批标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及时补助</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全部及时补助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kern w:val="0"/>
                <w:sz w:val="24"/>
              </w:rPr>
            </w:pPr>
            <w:r>
              <w:rPr>
                <w:rFonts w:hint="eastAsia" w:ascii="宋体" w:hAns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财政拨款及时到位</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享受补助情况</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及时得到补助</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满意度情况</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sz w:val="24"/>
              </w:rPr>
            </w:pPr>
            <w:r>
              <w:rPr>
                <w:rFonts w:hint="eastAsia" w:ascii="宋体" w:hAnsi="宋体" w:cs="宋体"/>
                <w:sz w:val="24"/>
              </w:rPr>
              <w:t>家长社会满意</w:t>
            </w:r>
          </w:p>
        </w:tc>
      </w:tr>
    </w:tbl>
    <w:p>
      <w:pPr>
        <w:spacing w:line="580" w:lineRule="exact"/>
        <w:ind w:left="640"/>
        <w:rPr>
          <w:rFonts w:ascii="仿宋" w:hAnsi="仿宋" w:eastAsia="仿宋" w:cs="仿宋_GB2312"/>
          <w:sz w:val="32"/>
          <w:szCs w:val="32"/>
        </w:rPr>
      </w:pPr>
    </w:p>
    <w:p>
      <w:pPr>
        <w:numPr>
          <w:ilvl w:val="0"/>
          <w:numId w:val="4"/>
        </w:numPr>
        <w:spacing w:line="580" w:lineRule="exact"/>
        <w:ind w:firstLine="642"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本部门按要求对2018年部门整体支出绩效评价情况开展自评，《达川区管村初级中学2018年部门整体支出绩效评价报告》见附件。</w:t>
      </w:r>
    </w:p>
    <w:p>
      <w:pPr>
        <w:spacing w:line="580" w:lineRule="exact"/>
        <w:ind w:firstLine="640" w:firstLineChars="200"/>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本部门自行组织对人员经费项目开展了绩效评价，《达川区管村初级中学2018年项目绩效评价报告》见附件。</w:t>
      </w: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pPr>
        <w:spacing w:line="600" w:lineRule="exact"/>
        <w:ind w:firstLine="642" w:firstLineChars="200"/>
        <w:outlineLvl w:val="2"/>
        <w:rPr>
          <w:rFonts w:ascii="仿宋" w:hAnsi="仿宋" w:eastAsia="仿宋"/>
          <w:sz w:val="32"/>
          <w:szCs w:val="32"/>
        </w:rPr>
      </w:pPr>
      <w:bookmarkStart w:id="52" w:name="_Toc15377222"/>
      <w:r>
        <w:rPr>
          <w:rFonts w:hint="eastAsia" w:ascii="仿宋" w:hAnsi="仿宋" w:eastAsia="仿宋"/>
          <w:b/>
          <w:sz w:val="32"/>
          <w:szCs w:val="32"/>
        </w:rPr>
        <w:t>（一）机关运行经费支出情况</w:t>
      </w:r>
      <w:bookmarkEnd w:id="52"/>
    </w:p>
    <w:p>
      <w:pPr>
        <w:spacing w:line="600" w:lineRule="exact"/>
        <w:ind w:firstLine="640"/>
        <w:rPr>
          <w:rFonts w:ascii="仿宋" w:hAnsi="仿宋" w:eastAsia="仿宋"/>
          <w:b/>
          <w:sz w:val="32"/>
          <w:szCs w:val="32"/>
        </w:rPr>
      </w:pPr>
      <w:r>
        <w:rPr>
          <w:rFonts w:hint="eastAsia" w:ascii="仿宋_GB2312" w:eastAsia="仿宋_GB2312"/>
          <w:sz w:val="32"/>
          <w:szCs w:val="32"/>
        </w:rPr>
        <w:t>本单位为事业单位，无机关运行经费支出。</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3" w:name="_Toc15377223"/>
      <w:r>
        <w:rPr>
          <w:rFonts w:hint="eastAsia" w:ascii="仿宋" w:hAnsi="仿宋" w:eastAsia="仿宋"/>
          <w:b/>
          <w:sz w:val="32"/>
          <w:szCs w:val="32"/>
        </w:rPr>
        <w:t>（二）政府采购支出情况</w:t>
      </w:r>
      <w:bookmarkEnd w:id="53"/>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4" w:name="_Toc15377224"/>
      <w:r>
        <w:rPr>
          <w:rFonts w:hint="eastAsia" w:ascii="仿宋" w:hAnsi="仿宋" w:eastAsia="仿宋"/>
          <w:b/>
          <w:sz w:val="32"/>
          <w:szCs w:val="32"/>
        </w:rPr>
        <w:t>（三）国有资产占有使用情况</w:t>
      </w:r>
      <w:bookmarkEnd w:id="54"/>
    </w:p>
    <w:p>
      <w:pPr>
        <w:autoSpaceDE w:val="0"/>
        <w:autoSpaceDN w:val="0"/>
        <w:adjustRightInd w:val="0"/>
        <w:spacing w:line="600" w:lineRule="exact"/>
        <w:ind w:firstLine="640" w:firstLineChars="200"/>
        <w:jc w:val="left"/>
        <w:outlineLvl w:val="2"/>
        <w:rPr>
          <w:rFonts w:ascii="仿宋" w:hAnsi="仿宋" w:eastAsia="仿宋"/>
          <w:b/>
          <w:sz w:val="32"/>
          <w:szCs w:val="32"/>
        </w:rPr>
      </w:pPr>
      <w:r>
        <w:rPr>
          <w:rFonts w:hint="eastAsia" w:ascii="仿宋_GB2312" w:eastAsia="仿宋_GB2312"/>
          <w:sz w:val="32"/>
          <w:szCs w:val="32"/>
        </w:rPr>
        <w:t>无。</w:t>
      </w:r>
    </w:p>
    <w:p>
      <w:pPr>
        <w:spacing w:line="600" w:lineRule="atLeast"/>
        <w:ind w:firstLine="642" w:firstLineChars="200"/>
        <w:rPr>
          <w:rFonts w:ascii="仿宋_GB2312" w:eastAsia="仿宋_GB2312"/>
          <w:b/>
          <w:sz w:val="32"/>
          <w:szCs w:val="32"/>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2"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sz w:val="44"/>
          <w:szCs w:val="44"/>
        </w:rPr>
      </w:pP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pPr>
        <w:pStyle w:val="23"/>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事业收入：指事业单位开展专业业务活动及辅助活动取得的收入。学校保教费收入等。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3</w:t>
      </w:r>
      <w:r>
        <w:rPr>
          <w:rFonts w:ascii="仿宋_GB2312" w:eastAsia="仿宋_GB2312"/>
          <w:color w:val="auto"/>
          <w:sz w:val="32"/>
          <w:szCs w:val="32"/>
        </w:rPr>
        <w:t>.</w:t>
      </w:r>
      <w:r>
        <w:rPr>
          <w:rFonts w:hint="eastAsia" w:ascii="仿宋_GB2312" w:eastAsia="仿宋_GB2312"/>
          <w:color w:val="auto"/>
          <w:sz w:val="32"/>
          <w:szCs w:val="32"/>
        </w:rPr>
        <w:t>其他收入：指单位取得的除上述收入以外的各项收入。</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4</w:t>
      </w:r>
      <w:r>
        <w:rPr>
          <w:rFonts w:ascii="仿宋_GB2312" w:eastAsia="仿宋_GB2312"/>
          <w:color w:val="auto"/>
          <w:sz w:val="32"/>
          <w:szCs w:val="32"/>
        </w:rPr>
        <w:t>.</w:t>
      </w:r>
      <w:r>
        <w:rPr>
          <w:rFonts w:hint="eastAsia" w:ascii="仿宋_GB2312" w:eastAsia="仿宋_GB2312"/>
          <w:color w:val="auto"/>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5</w:t>
      </w:r>
      <w:r>
        <w:rPr>
          <w:rFonts w:ascii="仿宋_GB2312" w:eastAsia="仿宋_GB2312"/>
          <w:color w:val="auto"/>
          <w:sz w:val="32"/>
          <w:szCs w:val="32"/>
        </w:rPr>
        <w:t>.</w:t>
      </w:r>
      <w:r>
        <w:rPr>
          <w:rFonts w:hint="eastAsia" w:ascii="仿宋_GB2312" w:eastAsia="仿宋_GB2312"/>
          <w:color w:val="auto"/>
          <w:sz w:val="32"/>
          <w:szCs w:val="32"/>
        </w:rPr>
        <w:t>年初结转和结余：指以前年度尚未完成、结转到本年按有关规定继续使用的资金。</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6</w:t>
      </w:r>
      <w:r>
        <w:rPr>
          <w:rFonts w:ascii="仿宋_GB2312" w:eastAsia="仿宋_GB2312"/>
          <w:color w:val="auto"/>
          <w:sz w:val="32"/>
          <w:szCs w:val="32"/>
        </w:rPr>
        <w:t>.</w:t>
      </w:r>
      <w:r>
        <w:rPr>
          <w:rFonts w:hint="eastAsia" w:ascii="仿宋_GB2312" w:eastAsia="仿宋_GB2312"/>
          <w:color w:val="auto"/>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7、年末结转和结余：指单位按有关规定结转到下年或以后年度继续使用的资金。</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8</w:t>
      </w:r>
      <w:r>
        <w:rPr>
          <w:rFonts w:ascii="仿宋_GB2312" w:eastAsia="仿宋_GB2312"/>
          <w:color w:val="auto"/>
          <w:sz w:val="32"/>
          <w:szCs w:val="32"/>
        </w:rPr>
        <w:t>.</w:t>
      </w:r>
      <w:r>
        <w:rPr>
          <w:rFonts w:hint="eastAsia" w:ascii="仿宋_GB2312" w:eastAsia="仿宋_GB2312"/>
          <w:color w:val="auto"/>
          <w:sz w:val="32"/>
          <w:szCs w:val="32"/>
        </w:rPr>
        <w:t xml:space="preserve">一般公共服务 </w:t>
      </w:r>
      <w:r>
        <w:rPr>
          <w:rFonts w:hint="eastAsia" w:ascii="仿宋_GB2312" w:hAnsi="Times New Roman" w:eastAsia="仿宋_GB2312" w:cs="Times New Roman"/>
          <w:color w:val="auto"/>
          <w:kern w:val="2"/>
          <w:sz w:val="32"/>
          <w:szCs w:val="32"/>
        </w:rPr>
        <w:t>2011099</w:t>
      </w:r>
      <w:r>
        <w:rPr>
          <w:rFonts w:hint="eastAsia" w:ascii="仿宋_GB2312" w:eastAsia="仿宋_GB2312"/>
          <w:color w:val="auto"/>
          <w:sz w:val="32"/>
          <w:szCs w:val="32"/>
        </w:rPr>
        <w:t>：</w:t>
      </w:r>
      <w:r>
        <w:rPr>
          <w:rFonts w:hint="eastAsia" w:hAnsi="仿宋"/>
          <w:color w:val="auto"/>
          <w:sz w:val="32"/>
          <w:szCs w:val="32"/>
        </w:rPr>
        <w:t>指学校聘用三支一扶人员的一次性补贴支出。</w:t>
      </w:r>
    </w:p>
    <w:p>
      <w:pPr>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教育2050201：指学校举办的学前教育支出。2050202：指学校举办的小前教育支出。2050203：指学校举办的初中教育支出。</w:t>
      </w:r>
    </w:p>
    <w:p>
      <w:pPr>
        <w:pStyle w:val="23"/>
        <w:spacing w:line="578" w:lineRule="exact"/>
        <w:ind w:firstLine="640" w:firstLineChars="200"/>
        <w:rPr>
          <w:rFonts w:hAnsi="仿宋"/>
          <w:color w:val="auto"/>
          <w:sz w:val="32"/>
          <w:szCs w:val="32"/>
        </w:rPr>
      </w:pPr>
      <w:r>
        <w:rPr>
          <w:rFonts w:hint="eastAsia" w:ascii="仿宋_GB2312" w:eastAsia="仿宋_GB2312"/>
          <w:color w:val="auto"/>
          <w:sz w:val="32"/>
          <w:szCs w:val="32"/>
        </w:rPr>
        <w:t>10</w:t>
      </w:r>
      <w:r>
        <w:rPr>
          <w:rFonts w:ascii="仿宋_GB2312" w:eastAsia="仿宋_GB2312"/>
          <w:color w:val="auto"/>
          <w:sz w:val="32"/>
          <w:szCs w:val="32"/>
        </w:rPr>
        <w:t>.</w:t>
      </w:r>
      <w:r>
        <w:rPr>
          <w:rFonts w:hint="eastAsia" w:ascii="仿宋_GB2312" w:eastAsia="仿宋_GB2312"/>
          <w:color w:val="auto"/>
          <w:sz w:val="32"/>
          <w:szCs w:val="32"/>
        </w:rPr>
        <w:t xml:space="preserve">社会保障和就业 </w:t>
      </w:r>
      <w:r>
        <w:rPr>
          <w:rFonts w:ascii="仿宋_GB2312" w:eastAsia="仿宋_GB2312"/>
          <w:color w:val="auto"/>
          <w:sz w:val="32"/>
          <w:szCs w:val="32"/>
        </w:rPr>
        <w:t>2080505</w:t>
      </w:r>
      <w:r>
        <w:rPr>
          <w:rFonts w:hint="eastAsia" w:ascii="仿宋_GB2312" w:eastAsia="仿宋_GB2312"/>
          <w:color w:val="auto"/>
          <w:sz w:val="32"/>
          <w:szCs w:val="32"/>
        </w:rPr>
        <w:t>：</w:t>
      </w:r>
      <w:r>
        <w:rPr>
          <w:rFonts w:hint="eastAsia" w:hAnsi="仿宋"/>
          <w:color w:val="auto"/>
          <w:sz w:val="32"/>
          <w:szCs w:val="32"/>
        </w:rPr>
        <w:t>指学校在社会保障与就业方面的支出。</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 xml:space="preserve">医疗卫生与计划生育 </w:t>
      </w:r>
      <w:r>
        <w:rPr>
          <w:rFonts w:ascii="仿宋_GB2312" w:eastAsia="仿宋_GB2312"/>
          <w:sz w:val="32"/>
          <w:szCs w:val="32"/>
        </w:rPr>
        <w:t>2100502</w:t>
      </w:r>
      <w:r>
        <w:rPr>
          <w:rFonts w:hint="eastAsia" w:ascii="仿宋_GB2312" w:eastAsia="仿宋_GB2312"/>
          <w:sz w:val="32"/>
          <w:szCs w:val="32"/>
        </w:rPr>
        <w:t>：指学校用于教职工医疗保险方面的支出。</w:t>
      </w:r>
    </w:p>
    <w:p>
      <w:pPr>
        <w:pStyle w:val="23"/>
        <w:spacing w:line="560" w:lineRule="exact"/>
        <w:ind w:firstLine="640" w:firstLineChars="200"/>
        <w:rPr>
          <w:rFonts w:hAnsi="仿宋"/>
          <w:color w:val="auto"/>
          <w:sz w:val="32"/>
          <w:szCs w:val="32"/>
        </w:rPr>
      </w:pPr>
      <w:r>
        <w:rPr>
          <w:rFonts w:hint="eastAsia" w:ascii="仿宋_GB2312" w:eastAsia="仿宋_GB2312"/>
          <w:color w:val="auto"/>
          <w:sz w:val="32"/>
          <w:szCs w:val="32"/>
        </w:rPr>
        <w:t>12</w:t>
      </w:r>
      <w:r>
        <w:rPr>
          <w:rFonts w:ascii="仿宋_GB2312" w:eastAsia="仿宋_GB2312"/>
          <w:color w:val="auto"/>
          <w:sz w:val="32"/>
          <w:szCs w:val="32"/>
        </w:rPr>
        <w:t>.</w:t>
      </w:r>
      <w:r>
        <w:rPr>
          <w:rFonts w:hint="eastAsia" w:ascii="仿宋_GB2312" w:eastAsia="仿宋_GB2312"/>
          <w:color w:val="auto"/>
          <w:sz w:val="32"/>
          <w:szCs w:val="32"/>
        </w:rPr>
        <w:t>住房保障2210201：指</w:t>
      </w:r>
      <w:r>
        <w:rPr>
          <w:rFonts w:hint="eastAsia" w:hAnsi="仿宋"/>
          <w:color w:val="auto"/>
          <w:sz w:val="32"/>
          <w:szCs w:val="32"/>
        </w:rPr>
        <w:t>学校用于住房方面的支出。学校按人力资源和社会保障部、财政部规定的基本工资和津贴补贴以及规定比例为职工缴纳的住房公积金。</w:t>
      </w:r>
    </w:p>
    <w:p>
      <w:pPr>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pPr>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p>
    <w:p>
      <w:pPr>
        <w:pStyle w:val="23"/>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15</w:t>
      </w:r>
      <w:r>
        <w:rPr>
          <w:rFonts w:ascii="仿宋_GB2312" w:eastAsia="仿宋_GB2312"/>
          <w:color w:val="auto"/>
          <w:sz w:val="32"/>
          <w:szCs w:val="32"/>
        </w:rPr>
        <w:t>.</w:t>
      </w:r>
      <w:r>
        <w:rPr>
          <w:rFonts w:hint="eastAsia" w:ascii="仿宋_GB2312" w:eastAsia="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Fonts w:ascii="宋体"/>
          <w:b/>
          <w:sz w:val="44"/>
          <w:szCs w:val="4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57" w:name="_Toc15377226"/>
      <w:r>
        <w:rPr>
          <w:rFonts w:ascii="宋体"/>
          <w:b/>
          <w:sz w:val="44"/>
          <w:szCs w:val="44"/>
        </w:rPr>
        <w:br w:type="page"/>
      </w:r>
      <w:bookmarkStart w:id="58" w:name="_Toc15396614"/>
    </w:p>
    <w:p>
      <w:pPr>
        <w:spacing w:line="600" w:lineRule="exact"/>
        <w:jc w:val="center"/>
        <w:outlineLvl w:val="0"/>
        <w:rPr>
          <w:rStyle w:val="25"/>
          <w:rFonts w:ascii="黑体" w:hAnsi="黑体" w:eastAsia="黑体"/>
          <w:b w:val="0"/>
        </w:rPr>
      </w:pPr>
      <w:r>
        <w:rPr>
          <w:rFonts w:hint="eastAsia" w:ascii="黑体" w:hAnsi="黑体" w:eastAsia="黑体"/>
          <w:sz w:val="44"/>
          <w:szCs w:val="44"/>
        </w:rPr>
        <w:t>第</w:t>
      </w:r>
      <w:r>
        <w:rPr>
          <w:rStyle w:val="25"/>
          <w:rFonts w:hint="eastAsia" w:ascii="黑体" w:hAnsi="黑体" w:eastAsia="黑体"/>
          <w:b w:val="0"/>
        </w:rPr>
        <w:t>四部分 附件</w:t>
      </w:r>
      <w:bookmarkEnd w:id="58"/>
    </w:p>
    <w:p>
      <w:pPr>
        <w:spacing w:line="600" w:lineRule="exact"/>
        <w:jc w:val="center"/>
        <w:outlineLvl w:val="0"/>
        <w:rPr>
          <w:rStyle w:val="25"/>
        </w:rPr>
      </w:pPr>
    </w:p>
    <w:p>
      <w:pPr>
        <w:pStyle w:val="3"/>
        <w:rPr>
          <w:rStyle w:val="25"/>
          <w:rFonts w:ascii="仿宋" w:hAnsi="仿宋" w:eastAsia="仿宋"/>
          <w:b w:val="0"/>
          <w:bCs w:val="0"/>
          <w:sz w:val="32"/>
          <w:szCs w:val="32"/>
        </w:rPr>
      </w:pPr>
      <w:bookmarkStart w:id="59" w:name="_Toc15396615"/>
      <w:r>
        <w:rPr>
          <w:rStyle w:val="25"/>
          <w:rFonts w:hint="eastAsia" w:ascii="仿宋" w:hAnsi="仿宋" w:eastAsia="仿宋"/>
          <w:b w:val="0"/>
          <w:bCs w:val="0"/>
          <w:sz w:val="32"/>
          <w:szCs w:val="32"/>
        </w:rPr>
        <w:t>附件1</w:t>
      </w:r>
      <w:bookmarkEnd w:id="59"/>
    </w:p>
    <w:tbl>
      <w:tblPr>
        <w:tblStyle w:val="12"/>
        <w:tblW w:w="13608" w:type="dxa"/>
        <w:tblInd w:w="108" w:type="dxa"/>
        <w:tblLayout w:type="autofit"/>
        <w:tblCellMar>
          <w:top w:w="0" w:type="dxa"/>
          <w:left w:w="108" w:type="dxa"/>
          <w:bottom w:w="0" w:type="dxa"/>
          <w:right w:w="108" w:type="dxa"/>
        </w:tblCellMar>
      </w:tblPr>
      <w:tblGrid>
        <w:gridCol w:w="860"/>
        <w:gridCol w:w="1160"/>
        <w:gridCol w:w="1560"/>
        <w:gridCol w:w="3508"/>
        <w:gridCol w:w="2268"/>
        <w:gridCol w:w="1843"/>
        <w:gridCol w:w="2409"/>
      </w:tblGrid>
      <w:tr>
        <w:tblPrEx>
          <w:tblCellMar>
            <w:top w:w="0" w:type="dxa"/>
            <w:left w:w="108" w:type="dxa"/>
            <w:bottom w:w="0" w:type="dxa"/>
            <w:right w:w="108" w:type="dxa"/>
          </w:tblCellMar>
        </w:tblPrEx>
        <w:trPr>
          <w:trHeight w:val="1200" w:hRule="atLeast"/>
        </w:trPr>
        <w:tc>
          <w:tcPr>
            <w:tcW w:w="11199"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w:t>
            </w:r>
            <w:r>
              <w:rPr>
                <w:rFonts w:hint="eastAsia" w:ascii="Microsoft YaHei UI" w:hAnsi="Microsoft YaHei UI" w:eastAsia="Microsoft YaHei UI" w:cs="宋体"/>
                <w:kern w:val="0"/>
                <w:sz w:val="36"/>
                <w:szCs w:val="36"/>
              </w:rPr>
              <w:t>管村初级中学</w:t>
            </w:r>
            <w:r>
              <w:rPr>
                <w:rFonts w:hint="eastAsia" w:ascii="方正小标宋简体" w:hAnsi="宋体" w:eastAsia="方正小标宋简体" w:cs="宋体"/>
                <w:kern w:val="0"/>
                <w:sz w:val="36"/>
                <w:szCs w:val="36"/>
              </w:rPr>
              <w:t>单位部门整体支出绩效评价得分表</w:t>
            </w:r>
          </w:p>
        </w:tc>
        <w:tc>
          <w:tcPr>
            <w:tcW w:w="2409" w:type="dxa"/>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1200" w:hRule="atLeast"/>
        </w:trPr>
        <w:tc>
          <w:tcPr>
            <w:tcW w:w="9356"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p>
        </w:tc>
        <w:tc>
          <w:tcPr>
            <w:tcW w:w="4252" w:type="dxa"/>
            <w:gridSpan w:val="2"/>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555" w:hRule="atLeast"/>
        </w:trPr>
        <w:tc>
          <w:tcPr>
            <w:tcW w:w="8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一级　　　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二级指标</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三级指标</w:t>
            </w:r>
          </w:p>
        </w:tc>
        <w:tc>
          <w:tcPr>
            <w:tcW w:w="35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指标解释</w:t>
            </w:r>
          </w:p>
        </w:tc>
        <w:tc>
          <w:tcPr>
            <w:tcW w:w="411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sz w:val="20"/>
                <w:szCs w:val="20"/>
              </w:rPr>
            </w:pPr>
            <w:r>
              <w:rPr>
                <w:rFonts w:hint="eastAsia" w:ascii="仿宋_GB2312" w:hAnsi="宋体" w:eastAsia="仿宋_GB2312" w:cs="宋体"/>
                <w:b/>
                <w:bCs/>
                <w:kern w:val="0"/>
                <w:sz w:val="20"/>
                <w:szCs w:val="20"/>
              </w:rPr>
              <w:t>计分标准（备注）</w:t>
            </w:r>
          </w:p>
        </w:tc>
        <w:tc>
          <w:tcPr>
            <w:tcW w:w="24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自评得分</w:t>
            </w:r>
          </w:p>
        </w:tc>
      </w:tr>
      <w:tr>
        <w:tblPrEx>
          <w:tblCellMar>
            <w:top w:w="0" w:type="dxa"/>
            <w:left w:w="108" w:type="dxa"/>
            <w:bottom w:w="0" w:type="dxa"/>
            <w:right w:w="108" w:type="dxa"/>
          </w:tblCellMar>
        </w:tblPrEx>
        <w:trPr>
          <w:trHeight w:val="720"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w:t>
            </w:r>
            <w:r>
              <w:rPr>
                <w:rFonts w:eastAsia="仿宋_GB2312"/>
                <w:kern w:val="0"/>
                <w:sz w:val="20"/>
                <w:szCs w:val="20"/>
              </w:rPr>
              <w:t>16</w:t>
            </w:r>
            <w:r>
              <w:rPr>
                <w:rFonts w:hint="eastAsia" w:ascii="仿宋_GB2312" w:hAnsi="宋体" w:eastAsia="仿宋_GB2312" w:cs="宋体"/>
                <w:kern w:val="0"/>
                <w:sz w:val="20"/>
                <w:szCs w:val="20"/>
              </w:rPr>
              <w:t>分）</w:t>
            </w:r>
          </w:p>
        </w:tc>
        <w:tc>
          <w:tcPr>
            <w:tcW w:w="11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报送时效　　（</w:t>
            </w:r>
            <w:r>
              <w:rPr>
                <w:rFonts w:eastAsia="仿宋_GB2312"/>
                <w:kern w:val="0"/>
                <w:sz w:val="20"/>
                <w:szCs w:val="20"/>
              </w:rPr>
              <w:t>2</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基础信息更新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各单位是否按照部门预算编制通知和有关要求，按时完成基础库、项目库报送工作</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超过规定</w:t>
            </w:r>
            <w:r>
              <w:rPr>
                <w:rFonts w:eastAsia="仿宋_GB2312"/>
                <w:kern w:val="0"/>
                <w:sz w:val="20"/>
                <w:szCs w:val="20"/>
              </w:rPr>
              <w:t>5</w:t>
            </w:r>
            <w:r>
              <w:rPr>
                <w:rFonts w:hint="eastAsia" w:ascii="仿宋_GB2312" w:hAnsi="宋体" w:eastAsia="仿宋_GB2312" w:cs="宋体"/>
                <w:kern w:val="0"/>
                <w:sz w:val="20"/>
                <w:szCs w:val="20"/>
              </w:rPr>
              <w:t>个工作日扣</w:t>
            </w:r>
            <w:r>
              <w:rPr>
                <w:rFonts w:eastAsia="仿宋_GB2312"/>
                <w:kern w:val="0"/>
                <w:sz w:val="20"/>
                <w:szCs w:val="20"/>
              </w:rPr>
              <w:t>0.5</w:t>
            </w:r>
            <w:r>
              <w:rPr>
                <w:rFonts w:hint="eastAsia" w:ascii="仿宋_GB2312" w:hAnsi="宋体" w:eastAsia="仿宋_GB2312" w:cs="宋体"/>
                <w:kern w:val="0"/>
                <w:sz w:val="20"/>
                <w:szCs w:val="20"/>
              </w:rPr>
              <w:t>分，</w:t>
            </w:r>
            <w:r>
              <w:rPr>
                <w:rFonts w:eastAsia="仿宋_GB2312"/>
                <w:kern w:val="0"/>
                <w:sz w:val="20"/>
                <w:szCs w:val="20"/>
              </w:rPr>
              <w:t>10</w:t>
            </w:r>
            <w:r>
              <w:rPr>
                <w:rFonts w:hint="eastAsia" w:ascii="仿宋_GB2312" w:hAnsi="宋体" w:eastAsia="仿宋_GB2312" w:cs="宋体"/>
                <w:kern w:val="0"/>
                <w:sz w:val="20"/>
                <w:szCs w:val="20"/>
              </w:rPr>
              <w:t>个工作日扣</w:t>
            </w:r>
            <w:r>
              <w:rPr>
                <w:rFonts w:eastAsia="仿宋_GB2312"/>
                <w:kern w:val="0"/>
                <w:sz w:val="20"/>
                <w:szCs w:val="20"/>
              </w:rPr>
              <w:t>1</w:t>
            </w:r>
            <w:r>
              <w:rPr>
                <w:rFonts w:hint="eastAsia" w:ascii="仿宋_GB2312" w:hAnsi="宋体" w:eastAsia="仿宋_GB2312" w:cs="宋体"/>
                <w:kern w:val="0"/>
                <w:sz w:val="20"/>
                <w:szCs w:val="20"/>
              </w:rPr>
              <w:t>分，以此类推，直至扣完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b/>
                <w:bCs/>
                <w:kern w:val="0"/>
                <w:sz w:val="20"/>
                <w:szCs w:val="20"/>
              </w:rPr>
            </w:pPr>
            <w:r>
              <w:rPr>
                <w:rFonts w:hint="eastAsia" w:ascii="宋体" w:hAnsi="宋体" w:cs="宋体"/>
                <w:b/>
                <w:bCs/>
                <w:kern w:val="0"/>
                <w:sz w:val="20"/>
                <w:szCs w:val="20"/>
              </w:rPr>
              <w:t>2</w:t>
            </w:r>
          </w:p>
        </w:tc>
      </w:tr>
      <w:tr>
        <w:tblPrEx>
          <w:tblCellMar>
            <w:top w:w="0" w:type="dxa"/>
            <w:left w:w="108" w:type="dxa"/>
            <w:bottom w:w="0" w:type="dxa"/>
            <w:right w:w="108" w:type="dxa"/>
          </w:tblCellMar>
        </w:tblPrEx>
        <w:trPr>
          <w:trHeight w:val="828"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编制质量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预算编制准确　　（</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考核预算项目资金性质变动情况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项目资金性质变动控制在</w:t>
            </w:r>
            <w:r>
              <w:rPr>
                <w:rFonts w:eastAsia="仿宋_GB2312"/>
                <w:kern w:val="0"/>
                <w:sz w:val="20"/>
                <w:szCs w:val="20"/>
              </w:rPr>
              <w:t>1</w:t>
            </w:r>
            <w:r>
              <w:rPr>
                <w:rFonts w:hint="eastAsia" w:ascii="仿宋_GB2312" w:hAnsi="宋体" w:eastAsia="仿宋_GB2312" w:cs="宋体"/>
                <w:kern w:val="0"/>
                <w:sz w:val="20"/>
                <w:szCs w:val="20"/>
              </w:rPr>
              <w:t>个内，得分；</w:t>
            </w:r>
            <w:r>
              <w:rPr>
                <w:rFonts w:eastAsia="仿宋_GB2312"/>
                <w:kern w:val="0"/>
                <w:sz w:val="20"/>
                <w:szCs w:val="20"/>
              </w:rPr>
              <w:t>2-3</w:t>
            </w:r>
            <w:r>
              <w:rPr>
                <w:rFonts w:hint="eastAsia" w:ascii="仿宋_GB2312" w:hAnsi="宋体" w:eastAsia="仿宋_GB2312" w:cs="宋体"/>
                <w:kern w:val="0"/>
                <w:sz w:val="20"/>
                <w:szCs w:val="20"/>
              </w:rPr>
              <w:t>个得</w:t>
            </w:r>
            <w:r>
              <w:rPr>
                <w:rFonts w:eastAsia="仿宋_GB2312"/>
                <w:kern w:val="0"/>
                <w:sz w:val="20"/>
                <w:szCs w:val="20"/>
              </w:rPr>
              <w:t>1</w:t>
            </w:r>
            <w:r>
              <w:rPr>
                <w:rFonts w:hint="eastAsia" w:ascii="仿宋_GB2312" w:hAnsi="宋体" w:eastAsia="仿宋_GB2312" w:cs="宋体"/>
                <w:kern w:val="0"/>
                <w:sz w:val="20"/>
                <w:szCs w:val="20"/>
              </w:rPr>
              <w:t>分；超过</w:t>
            </w:r>
            <w:r>
              <w:rPr>
                <w:rFonts w:eastAsia="仿宋_GB2312"/>
                <w:kern w:val="0"/>
                <w:sz w:val="20"/>
                <w:szCs w:val="20"/>
              </w:rPr>
              <w:t>3</w:t>
            </w:r>
            <w:r>
              <w:rPr>
                <w:rFonts w:hint="eastAsia" w:ascii="仿宋_GB2312" w:hAnsi="宋体" w:eastAsia="仿宋_GB2312" w:cs="宋体"/>
                <w:kern w:val="0"/>
                <w:sz w:val="20"/>
                <w:szCs w:val="20"/>
              </w:rPr>
              <w:t>个以上，不得分。（注：按照上级及区委区政府批准的项目资金性质变动如财政资金整合等情况不计入考核）</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部门预算审查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根据部门集体审查、区人大对预算草案审查结果进行考核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无部门集体审查的不得分；被人大预算审查后提出并确需修改的错误，每个问题扣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目标明确　　（</w:t>
            </w:r>
            <w:r>
              <w:rPr>
                <w:rFonts w:eastAsia="仿宋_GB2312"/>
                <w:kern w:val="0"/>
                <w:sz w:val="20"/>
                <w:szCs w:val="20"/>
              </w:rPr>
              <w:t>8</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部门整体目标　　（</w:t>
            </w:r>
            <w:r>
              <w:rPr>
                <w:rFonts w:eastAsia="仿宋_GB2312"/>
                <w:kern w:val="0"/>
                <w:sz w:val="20"/>
                <w:szCs w:val="20"/>
              </w:rPr>
              <w:t>5</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部门全年整体工作目标编制完整、合理</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有完整、明确、合理的部门整体工作方案得分，否则不得分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重点项目目标　　（</w:t>
            </w:r>
            <w:r>
              <w:rPr>
                <w:rFonts w:eastAsia="仿宋_GB2312"/>
                <w:kern w:val="0"/>
                <w:sz w:val="20"/>
                <w:szCs w:val="20"/>
              </w:rPr>
              <w:t>3</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重大项目实施方案明确、量化、可操作</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有完整、明确、合理</w:t>
            </w:r>
            <w:r>
              <w:rPr>
                <w:rFonts w:hint="eastAsia" w:ascii="仿宋_GB2312" w:hAnsi="宋体" w:eastAsia="仿宋_GB2312" w:cs="宋体"/>
                <w:kern w:val="0"/>
                <w:sz w:val="20"/>
                <w:szCs w:val="20"/>
                <w:lang w:eastAsia="zh-CN"/>
              </w:rPr>
              <w:t>的</w:t>
            </w:r>
            <w:r>
              <w:rPr>
                <w:rFonts w:hint="eastAsia" w:ascii="仿宋_GB2312" w:hAnsi="宋体" w:eastAsia="仿宋_GB2312" w:cs="宋体"/>
                <w:kern w:val="0"/>
                <w:sz w:val="20"/>
                <w:szCs w:val="20"/>
              </w:rPr>
              <w:t>重点项目工作方案得分，否则不得分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1410" w:hRule="atLeas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r>
              <w:rPr>
                <w:rFonts w:eastAsia="仿宋_GB2312"/>
                <w:kern w:val="0"/>
                <w:sz w:val="20"/>
                <w:szCs w:val="20"/>
              </w:rPr>
              <w:t>24</w:t>
            </w:r>
            <w:r>
              <w:rPr>
                <w:rFonts w:hint="eastAsia" w:ascii="仿宋_GB2312" w:hAnsi="宋体" w:eastAsia="仿宋_GB2312" w:cs="宋体"/>
                <w:kern w:val="0"/>
                <w:sz w:val="20"/>
                <w:szCs w:val="20"/>
              </w:rPr>
              <w:t>分）</w:t>
            </w:r>
          </w:p>
        </w:tc>
        <w:tc>
          <w:tcPr>
            <w:tcW w:w="11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资金调度　　（</w:t>
            </w:r>
            <w:r>
              <w:rPr>
                <w:rFonts w:eastAsia="仿宋_GB2312"/>
                <w:kern w:val="0"/>
                <w:sz w:val="20"/>
                <w:szCs w:val="20"/>
              </w:rPr>
              <w:t>5</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支付进度控制率</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用以反映和考核部门（单位）预算执行的及时性和均衡性程度。</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支付进度率</w:t>
            </w:r>
            <w:r>
              <w:rPr>
                <w:rFonts w:eastAsia="仿宋_GB2312"/>
                <w:kern w:val="0"/>
                <w:sz w:val="20"/>
                <w:szCs w:val="20"/>
              </w:rPr>
              <w:t>=</w:t>
            </w:r>
            <w:r>
              <w:rPr>
                <w:rFonts w:hint="eastAsia" w:ascii="仿宋_GB2312" w:hAnsi="宋体" w:eastAsia="仿宋_GB2312" w:cs="宋体"/>
                <w:kern w:val="0"/>
                <w:sz w:val="20"/>
                <w:szCs w:val="20"/>
              </w:rPr>
              <w:t>（部门支付进度</w:t>
            </w:r>
            <w:r>
              <w:rPr>
                <w:rFonts w:eastAsia="仿宋_GB2312"/>
                <w:kern w:val="0"/>
                <w:sz w:val="20"/>
                <w:szCs w:val="20"/>
              </w:rPr>
              <w:t>/</w:t>
            </w:r>
            <w:r>
              <w:rPr>
                <w:rFonts w:hint="eastAsia" w:ascii="仿宋_GB2312" w:hAnsi="宋体" w:eastAsia="仿宋_GB2312" w:cs="宋体"/>
                <w:kern w:val="0"/>
                <w:sz w:val="20"/>
                <w:szCs w:val="20"/>
              </w:rPr>
              <w:t>区级平均支付进度）</w:t>
            </w:r>
            <w:r>
              <w:rPr>
                <w:rFonts w:eastAsia="仿宋_GB2312"/>
                <w:kern w:val="0"/>
                <w:sz w:val="20"/>
                <w:szCs w:val="20"/>
              </w:rPr>
              <w:t>×100%</w:t>
            </w:r>
            <w:r>
              <w:rPr>
                <w:rFonts w:hint="eastAsia" w:ascii="仿宋_GB2312" w:hAnsi="宋体" w:eastAsia="仿宋_GB2312" w:cs="宋体"/>
                <w:kern w:val="0"/>
                <w:sz w:val="20"/>
                <w:szCs w:val="20"/>
              </w:rPr>
              <w:t>，支付进度率控制在</w:t>
            </w:r>
            <w:r>
              <w:rPr>
                <w:rFonts w:eastAsia="仿宋_GB2312"/>
                <w:kern w:val="0"/>
                <w:sz w:val="20"/>
                <w:szCs w:val="20"/>
              </w:rPr>
              <w:t>90%—110%</w:t>
            </w:r>
            <w:r>
              <w:rPr>
                <w:rFonts w:hint="eastAsia" w:ascii="仿宋_GB2312" w:hAnsi="宋体" w:eastAsia="仿宋_GB2312" w:cs="宋体"/>
                <w:kern w:val="0"/>
                <w:sz w:val="20"/>
                <w:szCs w:val="20"/>
              </w:rPr>
              <w:t>间。</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部门支付进度：部门（单位）在某一时点的支出预算执行总数与年度支出预算数的比率。</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区级平均支付进度：在某时点上，本级财政的支付进度率，以序时进度代替。</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153"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tcBorders>
              <w:top w:val="nil"/>
              <w:left w:val="nil"/>
              <w:bottom w:val="nil"/>
              <w:right w:val="nil"/>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财政预算执行（</w:t>
            </w:r>
            <w:r>
              <w:rPr>
                <w:rFonts w:eastAsia="仿宋_GB2312"/>
                <w:kern w:val="0"/>
                <w:sz w:val="20"/>
                <w:szCs w:val="20"/>
              </w:rPr>
              <w:t>5</w:t>
            </w:r>
            <w:r>
              <w:rPr>
                <w:rFonts w:hint="eastAsia" w:ascii="仿宋_GB2312" w:hAnsi="宋体" w:eastAsia="仿宋_GB2312" w:cs="宋体"/>
                <w:kern w:val="0"/>
                <w:sz w:val="20"/>
                <w:szCs w:val="20"/>
              </w:rPr>
              <w:t>分）</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部门（单位）本年度预算执行数与预算数的比率，用以反映和考核部门（单位）预算完成程度。</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w:t>
            </w:r>
            <w:r>
              <w:rPr>
                <w:rFonts w:eastAsia="仿宋_GB2312"/>
                <w:kern w:val="0"/>
                <w:sz w:val="20"/>
                <w:szCs w:val="20"/>
              </w:rPr>
              <w:t>=</w:t>
            </w:r>
            <w:r>
              <w:rPr>
                <w:rFonts w:hint="eastAsia" w:ascii="仿宋_GB2312" w:hAnsi="宋体" w:eastAsia="仿宋_GB2312" w:cs="宋体"/>
                <w:kern w:val="0"/>
                <w:sz w:val="20"/>
                <w:szCs w:val="20"/>
              </w:rPr>
              <w:t>（预算执行数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预算执行数：部门（单位）本年度实际完成的预算数，扣除结余数。</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预算数：财政部门批复的本年度部门（单位）预算数，含财政追加。</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5</w:t>
            </w:r>
          </w:p>
        </w:tc>
      </w:tr>
      <w:tr>
        <w:tblPrEx>
          <w:tblCellMar>
            <w:top w:w="0" w:type="dxa"/>
            <w:left w:w="108" w:type="dxa"/>
            <w:bottom w:w="0" w:type="dxa"/>
            <w:right w:w="108" w:type="dxa"/>
          </w:tblCellMar>
        </w:tblPrEx>
        <w:trPr>
          <w:trHeight w:val="1153"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预算刚性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　　（</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部门（单位）本年度预算调整数与预算数的比率，用以反映和考核部门（单位）预算的调整程度。</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w:t>
            </w:r>
            <w:r>
              <w:rPr>
                <w:rFonts w:eastAsia="仿宋_GB2312"/>
                <w:kern w:val="0"/>
                <w:sz w:val="20"/>
                <w:szCs w:val="20"/>
              </w:rPr>
              <w:t>=</w:t>
            </w:r>
            <w:r>
              <w:rPr>
                <w:rFonts w:hint="eastAsia" w:ascii="仿宋_GB2312" w:hAnsi="宋体" w:eastAsia="仿宋_GB2312" w:cs="宋体"/>
                <w:kern w:val="0"/>
                <w:sz w:val="20"/>
                <w:szCs w:val="20"/>
              </w:rPr>
              <w:t>（预算调整数</w:t>
            </w:r>
            <w:r>
              <w:rPr>
                <w:rFonts w:eastAsia="仿宋_GB2312"/>
                <w:kern w:val="0"/>
                <w:sz w:val="20"/>
                <w:szCs w:val="20"/>
              </w:rPr>
              <w:t>/</w:t>
            </w:r>
            <w:r>
              <w:rPr>
                <w:rFonts w:hint="eastAsia" w:ascii="仿宋_GB2312" w:hAnsi="宋体" w:eastAsia="仿宋_GB2312" w:cs="宋体"/>
                <w:kern w:val="0"/>
                <w:sz w:val="20"/>
                <w:szCs w:val="20"/>
              </w:rPr>
              <w:t>预算数）</w:t>
            </w:r>
            <w:r>
              <w:rPr>
                <w:rFonts w:eastAsia="仿宋_GB2312"/>
                <w:kern w:val="0"/>
                <w:sz w:val="20"/>
                <w:szCs w:val="20"/>
              </w:rPr>
              <w:t>×100%</w:t>
            </w:r>
            <w:r>
              <w:rPr>
                <w:rFonts w:hint="eastAsia" w:ascii="仿宋_GB2312" w:hAnsi="宋体" w:eastAsia="仿宋_GB2312" w:cs="宋体"/>
                <w:kern w:val="0"/>
                <w:sz w:val="20"/>
                <w:szCs w:val="20"/>
              </w:rPr>
              <w:t>，控制在</w:t>
            </w:r>
            <w:r>
              <w:rPr>
                <w:rFonts w:eastAsia="仿宋_GB2312"/>
                <w:kern w:val="0"/>
                <w:sz w:val="20"/>
                <w:szCs w:val="20"/>
              </w:rPr>
              <w:t>20%</w:t>
            </w:r>
            <w:r>
              <w:rPr>
                <w:rFonts w:hint="eastAsia" w:ascii="仿宋_GB2312" w:hAnsi="宋体" w:eastAsia="仿宋_GB2312" w:cs="宋体"/>
                <w:kern w:val="0"/>
                <w:sz w:val="20"/>
                <w:szCs w:val="20"/>
              </w:rPr>
              <w:t>以内。</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预算调整数：部门（单位）在本年度内涉及预算的追加、追减或结构调整的资金总和（因落实国家政策、发生不可抗力、上级部门或本级党委政府临时交办而产生的调整除外）。</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行政成本（</w:t>
            </w:r>
            <w:r>
              <w:rPr>
                <w:rFonts w:eastAsia="仿宋_GB2312"/>
                <w:kern w:val="0"/>
                <w:sz w:val="20"/>
                <w:szCs w:val="20"/>
              </w:rPr>
              <w:t>10</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3</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反映部门人力资源控制情况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人编比率</w:t>
            </w:r>
            <w:r>
              <w:rPr>
                <w:rFonts w:eastAsia="仿宋_GB2312"/>
                <w:kern w:val="0"/>
                <w:sz w:val="20"/>
                <w:szCs w:val="20"/>
              </w:rPr>
              <w:t>=</w:t>
            </w:r>
            <w:r>
              <w:rPr>
                <w:rFonts w:hint="eastAsia" w:ascii="仿宋_GB2312" w:hAnsi="宋体" w:eastAsia="仿宋_GB2312" w:cs="宋体"/>
                <w:kern w:val="0"/>
                <w:sz w:val="20"/>
                <w:szCs w:val="20"/>
              </w:rPr>
              <w:t>实际员工</w:t>
            </w:r>
            <w:r>
              <w:rPr>
                <w:rFonts w:eastAsia="仿宋_GB2312"/>
                <w:kern w:val="0"/>
                <w:sz w:val="20"/>
                <w:szCs w:val="20"/>
              </w:rPr>
              <w:t>/</w:t>
            </w:r>
            <w:r>
              <w:rPr>
                <w:rFonts w:hint="eastAsia" w:ascii="仿宋_GB2312" w:hAnsi="宋体" w:eastAsia="仿宋_GB2312" w:cs="宋体"/>
                <w:kern w:val="0"/>
                <w:sz w:val="20"/>
                <w:szCs w:val="20"/>
              </w:rPr>
              <w:t>部门编制数</w:t>
            </w:r>
            <w:r>
              <w:rPr>
                <w:rFonts w:eastAsia="仿宋_GB2312"/>
                <w:kern w:val="0"/>
                <w:sz w:val="20"/>
                <w:szCs w:val="20"/>
              </w:rPr>
              <w:t>*100%</w:t>
            </w:r>
            <w:r>
              <w:rPr>
                <w:rFonts w:hint="eastAsia" w:ascii="仿宋_GB2312" w:hAnsi="宋体" w:eastAsia="仿宋_GB2312" w:cs="宋体"/>
                <w:kern w:val="0"/>
                <w:sz w:val="20"/>
                <w:szCs w:val="20"/>
              </w:rPr>
              <w:t>，不得超过</w:t>
            </w:r>
            <w:r>
              <w:rPr>
                <w:rFonts w:eastAsia="仿宋_GB2312"/>
                <w:kern w:val="0"/>
                <w:sz w:val="20"/>
                <w:szCs w:val="20"/>
              </w:rPr>
              <w:t>100%</w:t>
            </w:r>
            <w:r>
              <w:rPr>
                <w:rFonts w:hint="eastAsia" w:ascii="仿宋_GB2312" w:hAnsi="宋体" w:eastAsia="仿宋_GB2312" w:cs="宋体"/>
                <w:kern w:val="0"/>
                <w:sz w:val="20"/>
                <w:szCs w:val="20"/>
              </w:rPr>
              <w:t>。</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一般性支出增长率（</w:t>
            </w:r>
            <w:r>
              <w:rPr>
                <w:rFonts w:eastAsia="仿宋_GB2312"/>
                <w:kern w:val="0"/>
                <w:sz w:val="20"/>
                <w:szCs w:val="20"/>
              </w:rPr>
              <w:t>3</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反映执行财政非生产性支出预算控制</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w:t>
            </w:r>
            <w:r>
              <w:rPr>
                <w:rFonts w:eastAsia="仿宋_GB2312"/>
                <w:kern w:val="0"/>
                <w:sz w:val="20"/>
                <w:szCs w:val="20"/>
              </w:rPr>
              <w:t>“</w:t>
            </w:r>
            <w:r>
              <w:rPr>
                <w:rFonts w:hint="eastAsia" w:ascii="仿宋_GB2312" w:hAnsi="宋体" w:eastAsia="仿宋_GB2312" w:cs="宋体"/>
                <w:kern w:val="0"/>
                <w:sz w:val="20"/>
                <w:szCs w:val="20"/>
              </w:rPr>
              <w:t>一般性支出</w:t>
            </w:r>
            <w:r>
              <w:rPr>
                <w:rFonts w:eastAsia="仿宋_GB2312"/>
                <w:kern w:val="0"/>
                <w:sz w:val="20"/>
                <w:szCs w:val="20"/>
              </w:rPr>
              <w:t>”</w:t>
            </w:r>
            <w:r>
              <w:rPr>
                <w:rFonts w:hint="eastAsia" w:ascii="仿宋_GB2312" w:hAnsi="宋体" w:eastAsia="仿宋_GB2312" w:cs="宋体"/>
                <w:kern w:val="0"/>
                <w:sz w:val="20"/>
                <w:szCs w:val="20"/>
              </w:rPr>
              <w:t>严格按财政管理规定执行，未完成控制要求不得分。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3</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反映部门财政资源耗费控制情况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人均公用经费率</w:t>
            </w:r>
            <w:r>
              <w:rPr>
                <w:rFonts w:eastAsia="仿宋_GB2312"/>
                <w:kern w:val="0"/>
                <w:sz w:val="20"/>
                <w:szCs w:val="20"/>
              </w:rPr>
              <w:t>=</w:t>
            </w:r>
            <w:r>
              <w:rPr>
                <w:rFonts w:hint="eastAsia" w:ascii="仿宋_GB2312" w:hAnsi="宋体" w:eastAsia="仿宋_GB2312" w:cs="宋体"/>
                <w:kern w:val="0"/>
                <w:sz w:val="20"/>
                <w:szCs w:val="20"/>
              </w:rPr>
              <w:t>部门年度公用经费总额</w:t>
            </w:r>
            <w:r>
              <w:rPr>
                <w:rFonts w:eastAsia="仿宋_GB2312"/>
                <w:kern w:val="0"/>
                <w:sz w:val="20"/>
                <w:szCs w:val="20"/>
              </w:rPr>
              <w:t>÷</w:t>
            </w:r>
            <w:r>
              <w:rPr>
                <w:rFonts w:hint="eastAsia" w:ascii="仿宋_GB2312" w:hAnsi="宋体" w:eastAsia="仿宋_GB2312" w:cs="宋体"/>
                <w:kern w:val="0"/>
                <w:sz w:val="20"/>
                <w:szCs w:val="20"/>
              </w:rPr>
              <w:t>编制内员工数</w:t>
            </w:r>
            <w:r>
              <w:rPr>
                <w:rFonts w:eastAsia="仿宋_GB2312"/>
                <w:kern w:val="0"/>
                <w:sz w:val="20"/>
                <w:szCs w:val="20"/>
              </w:rPr>
              <w:t>÷</w:t>
            </w:r>
            <w:r>
              <w:rPr>
                <w:rFonts w:hint="eastAsia" w:ascii="仿宋_GB2312" w:hAnsi="宋体" w:eastAsia="仿宋_GB2312" w:cs="宋体"/>
                <w:kern w:val="0"/>
                <w:sz w:val="20"/>
                <w:szCs w:val="20"/>
              </w:rPr>
              <w:t>区级人均公用经费</w:t>
            </w:r>
            <w:r>
              <w:rPr>
                <w:rFonts w:eastAsia="仿宋_GB2312"/>
                <w:kern w:val="0"/>
                <w:sz w:val="20"/>
                <w:szCs w:val="20"/>
              </w:rPr>
              <w:t>×100%</w:t>
            </w:r>
            <w:r>
              <w:rPr>
                <w:rFonts w:hint="eastAsia" w:ascii="仿宋_GB2312" w:hAnsi="宋体" w:eastAsia="仿宋_GB2312" w:cs="宋体"/>
                <w:kern w:val="0"/>
                <w:sz w:val="20"/>
                <w:szCs w:val="20"/>
              </w:rPr>
              <w:t>。</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80" w:hRule="atLeast"/>
        </w:trPr>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综合管理（</w:t>
            </w:r>
            <w:r>
              <w:rPr>
                <w:rFonts w:eastAsia="仿宋_GB2312"/>
                <w:kern w:val="0"/>
                <w:sz w:val="20"/>
                <w:szCs w:val="20"/>
              </w:rPr>
              <w:t>40</w:t>
            </w:r>
            <w:r>
              <w:rPr>
                <w:rFonts w:hint="eastAsia" w:ascii="仿宋_GB2312" w:hAnsi="宋体" w:eastAsia="仿宋_GB2312" w:cs="宋体"/>
                <w:kern w:val="0"/>
                <w:sz w:val="20"/>
                <w:szCs w:val="20"/>
              </w:rPr>
              <w:t>分）</w:t>
            </w:r>
          </w:p>
        </w:tc>
        <w:tc>
          <w:tcPr>
            <w:tcW w:w="11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债务管理　（</w:t>
            </w:r>
            <w:r>
              <w:rPr>
                <w:rFonts w:eastAsia="仿宋_GB2312"/>
                <w:kern w:val="0"/>
                <w:sz w:val="20"/>
                <w:szCs w:val="20"/>
              </w:rPr>
              <w:t>2</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债务还本付息（</w:t>
            </w:r>
            <w:r>
              <w:rPr>
                <w:rFonts w:eastAsia="仿宋_GB2312"/>
                <w:kern w:val="0"/>
                <w:sz w:val="20"/>
                <w:szCs w:val="20"/>
              </w:rPr>
              <w:t>2</w:t>
            </w:r>
            <w:r>
              <w:rPr>
                <w:rFonts w:hint="eastAsia" w:ascii="仿宋_GB2312" w:hAnsi="宋体" w:eastAsia="仿宋_GB2312" w:cs="宋体"/>
                <w:kern w:val="0"/>
                <w:sz w:val="20"/>
                <w:szCs w:val="20"/>
              </w:rPr>
              <w:t>）</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按规定做好政府性债务还本付息工作</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实际还本付息金额</w:t>
            </w:r>
            <w:r>
              <w:rPr>
                <w:rFonts w:eastAsia="仿宋_GB2312"/>
                <w:kern w:val="0"/>
                <w:sz w:val="20"/>
                <w:szCs w:val="20"/>
              </w:rPr>
              <w:t>÷</w:t>
            </w:r>
            <w:r>
              <w:rPr>
                <w:rFonts w:hint="eastAsia" w:ascii="仿宋_GB2312" w:hAnsi="宋体" w:eastAsia="仿宋_GB2312" w:cs="宋体"/>
                <w:kern w:val="0"/>
                <w:sz w:val="20"/>
                <w:szCs w:val="20"/>
              </w:rPr>
              <w:t>应付金额</w:t>
            </w:r>
            <w:r>
              <w:rPr>
                <w:rFonts w:eastAsia="仿宋_GB2312"/>
                <w:kern w:val="0"/>
                <w:sz w:val="20"/>
                <w:szCs w:val="20"/>
              </w:rPr>
              <w:t>×</w:t>
            </w:r>
            <w:r>
              <w:rPr>
                <w:rFonts w:hint="eastAsia" w:ascii="仿宋_GB2312" w:hAnsi="宋体" w:eastAsia="仿宋_GB2312" w:cs="宋体"/>
                <w:kern w:val="0"/>
                <w:sz w:val="20"/>
                <w:szCs w:val="20"/>
              </w:rPr>
              <w:t>指标分值</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color w:val="FF0000"/>
                <w:kern w:val="0"/>
                <w:sz w:val="20"/>
                <w:szCs w:val="20"/>
              </w:rPr>
            </w:pPr>
            <w:r>
              <w:rPr>
                <w:rFonts w:hint="eastAsia" w:ascii="宋体" w:hAnsi="宋体" w:cs="宋体"/>
                <w:color w:val="FF0000"/>
                <w:kern w:val="0"/>
                <w:sz w:val="20"/>
                <w:szCs w:val="20"/>
              </w:rPr>
              <w:t>2</w:t>
            </w:r>
          </w:p>
        </w:tc>
      </w:tr>
      <w:tr>
        <w:tblPrEx>
          <w:tblCellMar>
            <w:top w:w="0" w:type="dxa"/>
            <w:left w:w="108" w:type="dxa"/>
            <w:bottom w:w="0" w:type="dxa"/>
            <w:right w:w="108" w:type="dxa"/>
          </w:tblCellMar>
        </w:tblPrEx>
        <w:trPr>
          <w:trHeight w:val="97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非税收入管理情况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非税收入征收情况（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是否按照规定的项目、标准、征收方式执收非税收入，非税收入项目设立的权限和缓减免的依据，对非税收入进行缓减免</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发现有未按规定的非税收入项目、标准执收非税收入或有违反规定缓减免非税收入的，发现一次扣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非税收入上缴情况（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是否及时足额将非税收入缴入财政</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发现未及时足额将非税收入缴入财政的或者截留、挪用非税收入的，发现一次扣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政府采购执行管理　　（</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政府采购实施计划编制（</w:t>
            </w:r>
            <w:r>
              <w:rPr>
                <w:rFonts w:eastAsia="仿宋_GB2312"/>
                <w:kern w:val="0"/>
                <w:sz w:val="20"/>
                <w:szCs w:val="20"/>
              </w:rPr>
              <w:t>2</w:t>
            </w:r>
            <w:r>
              <w:rPr>
                <w:rFonts w:hint="eastAsia" w:ascii="仿宋_GB2312" w:hAnsi="宋体" w:eastAsia="仿宋_GB2312" w:cs="宋体"/>
                <w:kern w:val="0"/>
                <w:sz w:val="20"/>
                <w:szCs w:val="20"/>
              </w:rPr>
              <w:t>）</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实施计划与政府采购预算的一致性</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调整或细化资金</w:t>
            </w:r>
            <w:r>
              <w:rPr>
                <w:rFonts w:eastAsia="仿宋_GB2312"/>
                <w:kern w:val="0"/>
                <w:sz w:val="20"/>
                <w:szCs w:val="20"/>
              </w:rPr>
              <w:t>/</w:t>
            </w:r>
            <w:r>
              <w:rPr>
                <w:rFonts w:hint="eastAsia" w:ascii="仿宋_GB2312" w:hAnsi="宋体" w:eastAsia="仿宋_GB2312" w:cs="宋体"/>
                <w:kern w:val="0"/>
                <w:sz w:val="20"/>
                <w:szCs w:val="20"/>
              </w:rPr>
              <w:t>政府采购预算资金）</w:t>
            </w:r>
            <w:r>
              <w:rPr>
                <w:rFonts w:eastAsia="仿宋_GB2312"/>
                <w:kern w:val="0"/>
                <w:sz w:val="20"/>
                <w:szCs w:val="20"/>
              </w:rPr>
              <w:t>*</w:t>
            </w:r>
            <w:r>
              <w:rPr>
                <w:rFonts w:hint="eastAsia" w:ascii="仿宋_GB2312" w:hAnsi="宋体" w:eastAsia="仿宋_GB2312" w:cs="宋体"/>
                <w:kern w:val="0"/>
                <w:sz w:val="20"/>
                <w:szCs w:val="20"/>
              </w:rPr>
              <w:t>分值</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政府采购实施计划的执行（</w:t>
            </w:r>
            <w:r>
              <w:rPr>
                <w:rFonts w:eastAsia="仿宋_GB2312"/>
                <w:kern w:val="0"/>
                <w:sz w:val="20"/>
                <w:szCs w:val="20"/>
              </w:rPr>
              <w:t>2</w:t>
            </w:r>
            <w:r>
              <w:rPr>
                <w:rFonts w:hint="eastAsia" w:ascii="仿宋_GB2312" w:hAnsi="宋体" w:eastAsia="仿宋_GB2312" w:cs="宋体"/>
                <w:kern w:val="0"/>
                <w:sz w:val="20"/>
                <w:szCs w:val="20"/>
              </w:rPr>
              <w:t>）</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执行的实施计划与备案的实施计划的一致性</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w:t>
            </w:r>
            <w:r>
              <w:rPr>
                <w:rFonts w:eastAsia="仿宋_GB2312"/>
                <w:kern w:val="0"/>
                <w:sz w:val="20"/>
                <w:szCs w:val="20"/>
              </w:rPr>
              <w:t>1-</w:t>
            </w:r>
            <w:r>
              <w:rPr>
                <w:rFonts w:hint="eastAsia" w:ascii="仿宋_GB2312" w:hAnsi="宋体" w:eastAsia="仿宋_GB2312" w:cs="宋体"/>
                <w:kern w:val="0"/>
                <w:sz w:val="20"/>
                <w:szCs w:val="20"/>
              </w:rPr>
              <w:t>实施计划备案后的调整或细化资金</w:t>
            </w:r>
            <w:r>
              <w:rPr>
                <w:rFonts w:eastAsia="仿宋_GB2312"/>
                <w:kern w:val="0"/>
                <w:sz w:val="20"/>
                <w:szCs w:val="20"/>
              </w:rPr>
              <w:t>/</w:t>
            </w:r>
            <w:r>
              <w:rPr>
                <w:rFonts w:hint="eastAsia" w:ascii="仿宋_GB2312" w:hAnsi="宋体" w:eastAsia="仿宋_GB2312" w:cs="宋体"/>
                <w:kern w:val="0"/>
                <w:sz w:val="20"/>
                <w:szCs w:val="20"/>
              </w:rPr>
              <w:t>实施计划备案后的资金）</w:t>
            </w:r>
            <w:r>
              <w:rPr>
                <w:rFonts w:eastAsia="仿宋_GB2312"/>
                <w:kern w:val="0"/>
                <w:sz w:val="20"/>
                <w:szCs w:val="20"/>
              </w:rPr>
              <w:t>*</w:t>
            </w:r>
            <w:r>
              <w:rPr>
                <w:rFonts w:hint="eastAsia" w:ascii="仿宋_GB2312" w:hAnsi="宋体" w:eastAsia="仿宋_GB2312" w:cs="宋体"/>
                <w:kern w:val="0"/>
                <w:sz w:val="20"/>
                <w:szCs w:val="20"/>
              </w:rPr>
              <w:t>分值</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73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资产管理信息系统建设情况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nil"/>
              <w:right w:val="nil"/>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考核部门和单位将国有资产纳入资产信息系统管理情况</w:t>
            </w:r>
          </w:p>
        </w:tc>
        <w:tc>
          <w:tcPr>
            <w:tcW w:w="4111"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①未将所属单位国有资产纳入系统管理，每少一个单位扣</w:t>
            </w:r>
            <w:r>
              <w:rPr>
                <w:rFonts w:eastAsia="仿宋_GB2312"/>
                <w:kern w:val="0"/>
                <w:sz w:val="20"/>
                <w:szCs w:val="20"/>
              </w:rPr>
              <w:t>1</w:t>
            </w:r>
            <w:r>
              <w:rPr>
                <w:rFonts w:hint="eastAsia" w:ascii="仿宋_GB2312" w:hAnsi="宋体" w:eastAsia="仿宋_GB2312" w:cs="宋体"/>
                <w:kern w:val="0"/>
                <w:sz w:val="20"/>
                <w:szCs w:val="20"/>
              </w:rPr>
              <w:t>分。②未将资产变动情况及时录入系统，每次扣</w:t>
            </w:r>
            <w:r>
              <w:rPr>
                <w:rFonts w:eastAsia="仿宋_GB2312"/>
                <w:kern w:val="0"/>
                <w:sz w:val="20"/>
                <w:szCs w:val="20"/>
              </w:rPr>
              <w:t>0.5</w:t>
            </w:r>
            <w:r>
              <w:rPr>
                <w:rFonts w:hint="eastAsia" w:ascii="仿宋_GB2312" w:hAnsi="宋体" w:eastAsia="仿宋_GB2312" w:cs="宋体"/>
                <w:kern w:val="0"/>
                <w:sz w:val="20"/>
                <w:szCs w:val="20"/>
              </w:rPr>
              <w:t>分。③未落实人员负责管理系统，扣</w:t>
            </w:r>
            <w:r>
              <w:rPr>
                <w:rFonts w:eastAsia="仿宋_GB2312"/>
                <w:kern w:val="0"/>
                <w:sz w:val="20"/>
                <w:szCs w:val="20"/>
              </w:rPr>
              <w:t>1</w:t>
            </w:r>
            <w:r>
              <w:rPr>
                <w:rFonts w:hint="eastAsia" w:ascii="仿宋_GB2312" w:hAnsi="宋体" w:eastAsia="仿宋_GB2312" w:cs="宋体"/>
                <w:kern w:val="0"/>
                <w:sz w:val="20"/>
                <w:szCs w:val="20"/>
              </w:rPr>
              <w:t>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1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行政事业单位资产清查开展情况（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考核行政事业单位按要求及时、准确、全面开展资产清查工作情况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①未在规定时间内完成资产清查任务扣</w:t>
            </w:r>
            <w:r>
              <w:rPr>
                <w:rFonts w:eastAsia="仿宋_GB2312"/>
                <w:kern w:val="0"/>
                <w:sz w:val="20"/>
                <w:szCs w:val="20"/>
              </w:rPr>
              <w:t>1</w:t>
            </w:r>
            <w:r>
              <w:rPr>
                <w:rFonts w:hint="eastAsia" w:ascii="仿宋_GB2312" w:hAnsi="宋体" w:eastAsia="仿宋_GB2312" w:cs="宋体"/>
                <w:kern w:val="0"/>
                <w:sz w:val="20"/>
                <w:szCs w:val="20"/>
              </w:rPr>
              <w:t>分。②资产清查结果与财政组织复核的结果误差超过</w:t>
            </w:r>
            <w:r>
              <w:rPr>
                <w:rFonts w:eastAsia="仿宋_GB2312"/>
                <w:kern w:val="0"/>
                <w:sz w:val="20"/>
                <w:szCs w:val="20"/>
              </w:rPr>
              <w:t>10%</w:t>
            </w:r>
            <w:r>
              <w:rPr>
                <w:rFonts w:hint="eastAsia" w:ascii="仿宋_GB2312" w:hAnsi="宋体" w:eastAsia="仿宋_GB2312" w:cs="宋体"/>
                <w:kern w:val="0"/>
                <w:sz w:val="20"/>
                <w:szCs w:val="20"/>
              </w:rPr>
              <w:t>的扣</w:t>
            </w:r>
            <w:r>
              <w:rPr>
                <w:rFonts w:eastAsia="仿宋_GB2312"/>
                <w:kern w:val="0"/>
                <w:sz w:val="20"/>
                <w:szCs w:val="20"/>
              </w:rPr>
              <w:t>1</w:t>
            </w:r>
            <w:r>
              <w:rPr>
                <w:rFonts w:hint="eastAsia" w:ascii="仿宋_GB2312" w:hAnsi="宋体" w:eastAsia="仿宋_GB2312" w:cs="宋体"/>
                <w:kern w:val="0"/>
                <w:sz w:val="20"/>
                <w:szCs w:val="20"/>
              </w:rPr>
              <w:t>分。③未及时按批复的清查结果进行账务调整扣</w:t>
            </w:r>
            <w:r>
              <w:rPr>
                <w:rFonts w:eastAsia="仿宋_GB2312"/>
                <w:kern w:val="0"/>
                <w:sz w:val="20"/>
                <w:szCs w:val="20"/>
              </w:rPr>
              <w:t>1</w:t>
            </w:r>
            <w:r>
              <w:rPr>
                <w:rFonts w:hint="eastAsia" w:ascii="仿宋_GB2312" w:hAnsi="宋体" w:eastAsia="仿宋_GB2312" w:cs="宋体"/>
                <w:kern w:val="0"/>
                <w:sz w:val="20"/>
                <w:szCs w:val="20"/>
              </w:rPr>
              <w:t>分。④未及时更新资产管理信息系统，导致系统资产数据与上报财政的资产清查结果不一致扣</w:t>
            </w:r>
            <w:r>
              <w:rPr>
                <w:rFonts w:eastAsia="仿宋_GB2312"/>
                <w:kern w:val="0"/>
                <w:sz w:val="20"/>
                <w:szCs w:val="20"/>
              </w:rPr>
              <w:t>1</w:t>
            </w:r>
            <w:r>
              <w:rPr>
                <w:rFonts w:hint="eastAsia" w:ascii="仿宋_GB2312" w:hAnsi="宋体" w:eastAsia="仿宋_GB2312" w:cs="宋体"/>
                <w:kern w:val="0"/>
                <w:sz w:val="20"/>
                <w:szCs w:val="20"/>
              </w:rPr>
              <w:t>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733"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行政事业单位资产报表上报情况（</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考核行政事业单位上报国有资产报表数据的真实性、准确性、全面性</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①未落实专人负责资产报表，未及时上报资产报表扣</w:t>
            </w:r>
            <w:r>
              <w:rPr>
                <w:rFonts w:eastAsia="仿宋_GB2312"/>
                <w:kern w:val="0"/>
                <w:sz w:val="20"/>
                <w:szCs w:val="20"/>
              </w:rPr>
              <w:t>1</w:t>
            </w:r>
            <w:r>
              <w:rPr>
                <w:rFonts w:hint="eastAsia" w:ascii="仿宋_GB2312" w:hAnsi="宋体" w:eastAsia="仿宋_GB2312" w:cs="宋体"/>
                <w:kern w:val="0"/>
                <w:sz w:val="20"/>
                <w:szCs w:val="20"/>
              </w:rPr>
              <w:t>分。②报表填报不规范，内容不完整，数据不真实，扣</w:t>
            </w:r>
            <w:r>
              <w:rPr>
                <w:rFonts w:eastAsia="仿宋_GB2312"/>
                <w:kern w:val="0"/>
                <w:sz w:val="20"/>
                <w:szCs w:val="20"/>
              </w:rPr>
              <w:t>1</w:t>
            </w:r>
            <w:r>
              <w:rPr>
                <w:rFonts w:hint="eastAsia" w:ascii="仿宋_GB2312" w:hAnsi="宋体" w:eastAsia="仿宋_GB2312" w:cs="宋体"/>
                <w:kern w:val="0"/>
                <w:sz w:val="20"/>
                <w:szCs w:val="20"/>
              </w:rPr>
              <w:t>分。③未提交分析报告，对资产变动情况未作分析说明，扣</w:t>
            </w:r>
            <w:r>
              <w:rPr>
                <w:rFonts w:eastAsia="仿宋_GB2312"/>
                <w:kern w:val="0"/>
                <w:sz w:val="20"/>
                <w:szCs w:val="20"/>
              </w:rPr>
              <w:t>1</w:t>
            </w:r>
            <w:r>
              <w:rPr>
                <w:rFonts w:hint="eastAsia" w:ascii="仿宋_GB2312" w:hAnsi="宋体" w:eastAsia="仿宋_GB2312" w:cs="宋体"/>
                <w:kern w:val="0"/>
                <w:sz w:val="20"/>
                <w:szCs w:val="20"/>
              </w:rPr>
              <w:t>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675"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tcBorders>
              <w:top w:val="nil"/>
              <w:left w:val="nil"/>
              <w:bottom w:val="nil"/>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内控制度管理（</w:t>
            </w:r>
            <w:r>
              <w:rPr>
                <w:rFonts w:eastAsia="仿宋_GB2312"/>
                <w:kern w:val="0"/>
                <w:sz w:val="20"/>
                <w:szCs w:val="20"/>
              </w:rPr>
              <w:t>4</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内部控制度健全完整（</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考核部门内部控制制度的设置和执行情况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内部控制制度健全完整并执行良好的得分，否则不得分。在本年度内因内控制度不健全或执行不到位，造成单位出现廉政风险或发生重大责任事故的不得分。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100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信息公开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预算公开（</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除涉密信息外，各部门要在财政部门批复后二十日内向社会公开本部门预算（含所有财政资金安排的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按规定公开预算，未按要求公开的，发现一处扣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1020"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决算公开（</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除涉密信息外，各部门要在财政部门批复二十日内向社会公开本部门决算（含所有财政资金安排的</w:t>
            </w:r>
            <w:r>
              <w:rPr>
                <w:rFonts w:eastAsia="仿宋_GB2312"/>
                <w:kern w:val="0"/>
                <w:sz w:val="20"/>
                <w:szCs w:val="20"/>
              </w:rPr>
              <w:t>“</w:t>
            </w:r>
            <w:r>
              <w:rPr>
                <w:rFonts w:hint="eastAsia" w:ascii="仿宋_GB2312" w:hAnsi="宋体" w:eastAsia="仿宋_GB2312" w:cs="宋体"/>
                <w:kern w:val="0"/>
                <w:sz w:val="20"/>
                <w:szCs w:val="20"/>
              </w:rPr>
              <w:t>三公</w:t>
            </w:r>
            <w:r>
              <w:rPr>
                <w:rFonts w:eastAsia="仿宋_GB2312"/>
                <w:kern w:val="0"/>
                <w:sz w:val="20"/>
                <w:szCs w:val="20"/>
              </w:rPr>
              <w:t>”</w:t>
            </w:r>
            <w:r>
              <w:rPr>
                <w:rFonts w:hint="eastAsia" w:ascii="仿宋_GB2312" w:hAnsi="宋体" w:eastAsia="仿宋_GB2312" w:cs="宋体"/>
                <w:kern w:val="0"/>
                <w:sz w:val="20"/>
                <w:szCs w:val="20"/>
              </w:rPr>
              <w:t>经费、机关运行经费的安排、使用情况等）</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73" w:hRule="atLeast"/>
        </w:trPr>
        <w:tc>
          <w:tcPr>
            <w:tcW w:w="8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160" w:type="dxa"/>
            <w:vMerge w:val="continue"/>
            <w:tcBorders>
              <w:top w:val="single" w:color="auto" w:sz="4" w:space="0"/>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绩效信息公开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按要求公开部门整体支出绩效自评报告及其他按要求应公开的绩效信息</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未按要求公开的，发现一处问题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40" w:hRule="atLeas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综合管理（</w:t>
            </w:r>
            <w:r>
              <w:rPr>
                <w:kern w:val="0"/>
                <w:sz w:val="20"/>
                <w:szCs w:val="20"/>
              </w:rPr>
              <w:t>40</w:t>
            </w:r>
            <w:r>
              <w:rPr>
                <w:rFonts w:hint="eastAsia" w:ascii="宋体" w:hAnsi="宋体" w:cs="宋体"/>
                <w:kern w:val="0"/>
                <w:sz w:val="20"/>
                <w:szCs w:val="20"/>
              </w:rPr>
              <w:t>分）</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　　（</w:t>
            </w:r>
            <w:r>
              <w:rPr>
                <w:rFonts w:eastAsia="仿宋_GB2312"/>
                <w:kern w:val="0"/>
                <w:sz w:val="20"/>
                <w:szCs w:val="20"/>
              </w:rPr>
              <w:t>8</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评价项目覆盖率（</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部门实施绩效评价项目数量占部门管理专项预算项目数量的比重，部门申报绩效目标项目数量的比重，用以反映和考核部门实施绩效评价项目资金覆盖情况</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评价覆盖率</w:t>
            </w:r>
            <w:r>
              <w:rPr>
                <w:rFonts w:eastAsia="仿宋_GB2312"/>
                <w:kern w:val="0"/>
                <w:sz w:val="20"/>
                <w:szCs w:val="20"/>
              </w:rPr>
              <w:t>=</w:t>
            </w:r>
            <w:r>
              <w:rPr>
                <w:rFonts w:hint="eastAsia" w:ascii="仿宋_GB2312" w:hAnsi="宋体" w:eastAsia="仿宋_GB2312" w:cs="宋体"/>
                <w:kern w:val="0"/>
                <w:sz w:val="20"/>
                <w:szCs w:val="20"/>
              </w:rPr>
              <w:t>实施绩效评价项目数量</w:t>
            </w:r>
            <w:r>
              <w:rPr>
                <w:rFonts w:eastAsia="仿宋_GB2312"/>
                <w:kern w:val="0"/>
                <w:sz w:val="20"/>
                <w:szCs w:val="20"/>
              </w:rPr>
              <w:t>/</w:t>
            </w:r>
            <w:r>
              <w:rPr>
                <w:rFonts w:hint="eastAsia" w:ascii="仿宋_GB2312" w:hAnsi="宋体" w:eastAsia="仿宋_GB2312" w:cs="宋体"/>
                <w:kern w:val="0"/>
                <w:sz w:val="20"/>
                <w:szCs w:val="20"/>
              </w:rPr>
              <w:t>部门管理专项预算项目数量</w:t>
            </w:r>
            <w:r>
              <w:rPr>
                <w:rFonts w:eastAsia="仿宋_GB2312"/>
                <w:kern w:val="0"/>
                <w:sz w:val="20"/>
                <w:szCs w:val="20"/>
              </w:rPr>
              <w:t>×100%</w:t>
            </w:r>
            <w:r>
              <w:rPr>
                <w:rFonts w:hint="eastAsia" w:ascii="仿宋_GB2312" w:hAnsi="宋体" w:eastAsia="仿宋_GB2312" w:cs="宋体"/>
                <w:kern w:val="0"/>
                <w:sz w:val="20"/>
                <w:szCs w:val="20"/>
              </w:rPr>
              <w:t>，大于</w:t>
            </w:r>
            <w:r>
              <w:rPr>
                <w:rFonts w:eastAsia="仿宋_GB2312"/>
                <w:kern w:val="0"/>
                <w:sz w:val="20"/>
                <w:szCs w:val="20"/>
              </w:rPr>
              <w:t>50%</w:t>
            </w:r>
            <w:r>
              <w:rPr>
                <w:rFonts w:hint="eastAsia" w:ascii="仿宋_GB2312" w:hAnsi="宋体" w:eastAsia="仿宋_GB2312" w:cs="宋体"/>
                <w:kern w:val="0"/>
                <w:sz w:val="20"/>
                <w:szCs w:val="20"/>
              </w:rPr>
              <w:t>，得满分。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评价层次（</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部门（单位）是否对下级预算单位开展整体绩效评价</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实施评价下级预算单位的得分，否则不得分</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评价结果利用率（</w:t>
            </w:r>
            <w:r>
              <w:rPr>
                <w:rFonts w:eastAsia="仿宋_GB2312"/>
                <w:kern w:val="0"/>
                <w:sz w:val="20"/>
                <w:szCs w:val="20"/>
              </w:rPr>
              <w:t>4</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部门是否根据绩效评价发现问题制定整改措施，并整改落实到位</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利用率</w:t>
            </w:r>
            <w:r>
              <w:rPr>
                <w:rFonts w:eastAsia="仿宋_GB2312"/>
                <w:kern w:val="0"/>
                <w:sz w:val="20"/>
                <w:szCs w:val="20"/>
              </w:rPr>
              <w:t>=</w:t>
            </w:r>
            <w:r>
              <w:rPr>
                <w:rFonts w:hint="eastAsia" w:ascii="仿宋_GB2312" w:hAnsi="宋体" w:eastAsia="仿宋_GB2312" w:cs="宋体"/>
                <w:kern w:val="0"/>
                <w:sz w:val="20"/>
                <w:szCs w:val="20"/>
              </w:rPr>
              <w:t>部门实际制定整改措施项目数量</w:t>
            </w:r>
            <w:r>
              <w:rPr>
                <w:rFonts w:eastAsia="仿宋_GB2312"/>
                <w:kern w:val="0"/>
                <w:sz w:val="20"/>
                <w:szCs w:val="20"/>
              </w:rPr>
              <w:t>/</w:t>
            </w:r>
            <w:r>
              <w:rPr>
                <w:rFonts w:hint="eastAsia" w:ascii="仿宋_GB2312" w:hAnsi="宋体" w:eastAsia="仿宋_GB2312" w:cs="宋体"/>
                <w:kern w:val="0"/>
                <w:sz w:val="20"/>
                <w:szCs w:val="20"/>
              </w:rPr>
              <w:t>应制定整改措施的项目数量</w:t>
            </w:r>
            <w:r>
              <w:rPr>
                <w:rFonts w:eastAsia="仿宋_GB2312"/>
                <w:kern w:val="0"/>
                <w:sz w:val="20"/>
                <w:szCs w:val="20"/>
              </w:rPr>
              <w:t>×100%</w:t>
            </w:r>
            <w:r>
              <w:rPr>
                <w:rFonts w:hint="eastAsia" w:ascii="仿宋_GB2312" w:hAnsi="宋体" w:eastAsia="仿宋_GB2312" w:cs="宋体"/>
                <w:kern w:val="0"/>
                <w:sz w:val="20"/>
                <w:szCs w:val="20"/>
              </w:rPr>
              <w:t>。</w:t>
            </w:r>
          </w:p>
        </w:tc>
        <w:tc>
          <w:tcPr>
            <w:tcW w:w="2409"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975"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财政监督　　（</w:t>
            </w:r>
            <w:r>
              <w:rPr>
                <w:rFonts w:eastAsia="仿宋_GB2312"/>
                <w:kern w:val="0"/>
                <w:sz w:val="20"/>
                <w:szCs w:val="20"/>
              </w:rPr>
              <w:t>6</w:t>
            </w:r>
            <w:r>
              <w:rPr>
                <w:rFonts w:hint="eastAsia" w:ascii="仿宋_GB2312" w:hAnsi="宋体" w:eastAsia="仿宋_GB2312" w:cs="宋体"/>
                <w:kern w:val="0"/>
                <w:sz w:val="20"/>
                <w:szCs w:val="20"/>
              </w:rPr>
              <w:t>分）</w:t>
            </w: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是否按要求开展自查自纠（</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根据相关自查自纠报告、报表报送时效和质量进行考核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未在规定时间内报送自查自纠相关材料（包括：纸质和电子版）的，扣</w:t>
            </w:r>
            <w:r>
              <w:rPr>
                <w:rFonts w:eastAsia="仿宋_GB2312"/>
                <w:kern w:val="0"/>
                <w:sz w:val="20"/>
                <w:szCs w:val="20"/>
              </w:rPr>
              <w:t>0.5</w:t>
            </w:r>
            <w:r>
              <w:rPr>
                <w:rFonts w:hint="eastAsia" w:ascii="仿宋_GB2312" w:hAnsi="宋体" w:eastAsia="仿宋_GB2312" w:cs="宋体"/>
                <w:kern w:val="0"/>
                <w:sz w:val="20"/>
                <w:szCs w:val="20"/>
              </w:rPr>
              <w:t>分；报告内容不完整，扣</w:t>
            </w:r>
            <w:r>
              <w:rPr>
                <w:rFonts w:eastAsia="仿宋_GB2312"/>
                <w:kern w:val="0"/>
                <w:sz w:val="20"/>
                <w:szCs w:val="20"/>
              </w:rPr>
              <w:t>1</w:t>
            </w:r>
            <w:r>
              <w:rPr>
                <w:rFonts w:hint="eastAsia" w:ascii="仿宋_GB2312" w:hAnsi="宋体" w:eastAsia="仿宋_GB2312" w:cs="宋体"/>
                <w:kern w:val="0"/>
                <w:sz w:val="20"/>
                <w:szCs w:val="20"/>
              </w:rPr>
              <w:t>分；报表质量差（如：数据、逻辑、勾稽关系错误）等扣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bottom"/>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945"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重点检查发现违规违纪问题　　　（</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根据检查组提供的工作底稿、检查报告等资料进行考核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专项检查发现的违纪违规问题，每个问题扣</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bottom"/>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885"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spacing w:line="520" w:lineRule="exact"/>
              <w:jc w:val="left"/>
              <w:rPr>
                <w:rFonts w:ascii="宋体" w:hAnsi="宋体" w:cs="宋体"/>
                <w:kern w:val="0"/>
                <w:sz w:val="20"/>
                <w:szCs w:val="20"/>
              </w:rPr>
            </w:pPr>
          </w:p>
        </w:tc>
        <w:tc>
          <w:tcPr>
            <w:tcW w:w="1160" w:type="dxa"/>
            <w:vMerge w:val="continue"/>
            <w:tcBorders>
              <w:top w:val="nil"/>
              <w:left w:val="single" w:color="auto" w:sz="4" w:space="0"/>
              <w:bottom w:val="single" w:color="auto" w:sz="4" w:space="0"/>
              <w:right w:val="single" w:color="auto" w:sz="4" w:space="0"/>
            </w:tcBorders>
            <w:vAlign w:val="center"/>
          </w:tcPr>
          <w:p>
            <w:pPr>
              <w:widowControl/>
              <w:spacing w:line="520" w:lineRule="exact"/>
              <w:jc w:val="left"/>
              <w:rPr>
                <w:rFonts w:ascii="仿宋_GB2312" w:hAnsi="宋体" w:eastAsia="仿宋_GB2312"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存在问题整改是否到位（</w:t>
            </w:r>
            <w:r>
              <w:rPr>
                <w:rFonts w:eastAsia="仿宋_GB2312"/>
                <w:kern w:val="0"/>
                <w:sz w:val="20"/>
                <w:szCs w:val="20"/>
              </w:rPr>
              <w:t>2</w:t>
            </w:r>
            <w:r>
              <w:rPr>
                <w:rFonts w:hint="eastAsia" w:ascii="仿宋_GB2312" w:hAnsi="宋体" w:eastAsia="仿宋_GB2312" w:cs="宋体"/>
                <w:kern w:val="0"/>
                <w:sz w:val="20"/>
                <w:szCs w:val="20"/>
              </w:rPr>
              <w:t>分）</w:t>
            </w:r>
          </w:p>
        </w:tc>
        <w:tc>
          <w:tcPr>
            <w:tcW w:w="3508"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根据相关整改报告、凭证依据等相关证明材料进行考核</w:t>
            </w:r>
          </w:p>
        </w:tc>
        <w:tc>
          <w:tcPr>
            <w:tcW w:w="4111" w:type="dxa"/>
            <w:gridSpan w:val="2"/>
            <w:tcBorders>
              <w:top w:val="nil"/>
              <w:left w:val="nil"/>
              <w:bottom w:val="single" w:color="auto"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未在规定时间内完成整改，并提供相关证明材料的，每个问题</w:t>
            </w:r>
            <w:r>
              <w:rPr>
                <w:rFonts w:eastAsia="仿宋_GB2312"/>
                <w:kern w:val="0"/>
                <w:sz w:val="20"/>
                <w:szCs w:val="20"/>
              </w:rPr>
              <w:t>0.5</w:t>
            </w:r>
            <w:r>
              <w:rPr>
                <w:rFonts w:hint="eastAsia" w:ascii="仿宋_GB2312" w:hAnsi="宋体" w:eastAsia="仿宋_GB2312" w:cs="宋体"/>
                <w:kern w:val="0"/>
                <w:sz w:val="20"/>
                <w:szCs w:val="20"/>
              </w:rPr>
              <w:t>分，直至扣完</w:t>
            </w:r>
          </w:p>
        </w:tc>
        <w:tc>
          <w:tcPr>
            <w:tcW w:w="2409" w:type="dxa"/>
            <w:tcBorders>
              <w:top w:val="nil"/>
              <w:left w:val="nil"/>
              <w:bottom w:val="single" w:color="auto" w:sz="4" w:space="0"/>
              <w:right w:val="single" w:color="auto" w:sz="4" w:space="0"/>
            </w:tcBorders>
            <w:shd w:val="clear" w:color="auto" w:fill="auto"/>
            <w:vAlign w:val="bottom"/>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2</w:t>
            </w:r>
          </w:p>
        </w:tc>
      </w:tr>
      <w:tr>
        <w:tblPrEx>
          <w:tblCellMar>
            <w:top w:w="0" w:type="dxa"/>
            <w:left w:w="108" w:type="dxa"/>
            <w:bottom w:w="0" w:type="dxa"/>
            <w:right w:w="108" w:type="dxa"/>
          </w:tblCellMar>
        </w:tblPrEx>
        <w:trPr>
          <w:trHeight w:val="580" w:hRule="atLeast"/>
        </w:trPr>
        <w:tc>
          <w:tcPr>
            <w:tcW w:w="8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整体效益（</w:t>
            </w:r>
            <w:r>
              <w:rPr>
                <w:rFonts w:eastAsia="仿宋_GB2312"/>
                <w:kern w:val="0"/>
                <w:sz w:val="20"/>
                <w:szCs w:val="20"/>
              </w:rPr>
              <w:t>20</w:t>
            </w:r>
            <w:r>
              <w:rPr>
                <w:rFonts w:hint="eastAsia" w:ascii="仿宋_GB2312" w:hAnsi="宋体" w:eastAsia="仿宋_GB2312" w:cs="宋体"/>
                <w:kern w:val="0"/>
                <w:sz w:val="20"/>
                <w:szCs w:val="20"/>
              </w:rPr>
              <w:t>分）</w:t>
            </w:r>
          </w:p>
        </w:tc>
        <w:tc>
          <w:tcPr>
            <w:tcW w:w="11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部门整体成效（</w:t>
            </w:r>
            <w:r>
              <w:rPr>
                <w:rFonts w:eastAsia="仿宋_GB2312"/>
                <w:kern w:val="0"/>
                <w:sz w:val="20"/>
                <w:szCs w:val="20"/>
              </w:rPr>
              <w:t>20</w:t>
            </w:r>
            <w:r>
              <w:rPr>
                <w:rFonts w:hint="eastAsia" w:ascii="仿宋_GB2312" w:hAnsi="宋体" w:eastAsia="仿宋_GB2312" w:cs="宋体"/>
                <w:kern w:val="0"/>
                <w:sz w:val="20"/>
                <w:szCs w:val="20"/>
              </w:rPr>
              <w:t>分）</w:t>
            </w:r>
          </w:p>
        </w:tc>
        <w:tc>
          <w:tcPr>
            <w:tcW w:w="156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根据部门单位特点针对性设置</w:t>
            </w:r>
          </w:p>
        </w:tc>
        <w:tc>
          <w:tcPr>
            <w:tcW w:w="350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主要考核该部门履职尽责、工作先进性、促进发展、服务对象及社会公众满意度。</w:t>
            </w:r>
          </w:p>
        </w:tc>
        <w:tc>
          <w:tcPr>
            <w:tcW w:w="411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特性指标设置不得低于</w:t>
            </w:r>
            <w:r>
              <w:rPr>
                <w:rFonts w:eastAsia="仿宋_GB2312"/>
                <w:kern w:val="0"/>
                <w:sz w:val="20"/>
                <w:szCs w:val="20"/>
              </w:rPr>
              <w:t>3</w:t>
            </w:r>
            <w:r>
              <w:rPr>
                <w:rFonts w:hint="eastAsia" w:ascii="仿宋_GB2312" w:hAnsi="宋体" w:eastAsia="仿宋_GB2312" w:cs="宋体"/>
                <w:kern w:val="0"/>
                <w:sz w:val="20"/>
                <w:szCs w:val="20"/>
              </w:rPr>
              <w:t>个。若该部门出现重大安全责任事故、财经违法乱纪现象、群体事件、重大不良社会影响等状况时，此项考核不得分。</w:t>
            </w:r>
          </w:p>
        </w:tc>
        <w:tc>
          <w:tcPr>
            <w:tcW w:w="240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520" w:lineRule="exact"/>
              <w:jc w:val="center"/>
              <w:rPr>
                <w:rFonts w:ascii="宋体" w:hAnsi="宋体" w:cs="宋体"/>
                <w:kern w:val="0"/>
                <w:sz w:val="20"/>
                <w:szCs w:val="20"/>
              </w:rPr>
            </w:pPr>
            <w:r>
              <w:rPr>
                <w:rFonts w:hint="eastAsia" w:ascii="宋体" w:hAnsi="宋体" w:cs="宋体"/>
                <w:kern w:val="0"/>
                <w:sz w:val="20"/>
                <w:szCs w:val="20"/>
              </w:rPr>
              <w:t>19</w:t>
            </w:r>
          </w:p>
        </w:tc>
      </w:tr>
      <w:tr>
        <w:tblPrEx>
          <w:tblCellMar>
            <w:top w:w="0" w:type="dxa"/>
            <w:left w:w="108" w:type="dxa"/>
            <w:bottom w:w="0" w:type="dxa"/>
            <w:right w:w="108" w:type="dxa"/>
          </w:tblCellMar>
        </w:tblPrEx>
        <w:trPr>
          <w:trHeight w:val="580"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5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1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3" w:hRule="atLeast"/>
        </w:trPr>
        <w:tc>
          <w:tcPr>
            <w:tcW w:w="8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1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15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3508"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411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kern w:val="0"/>
                <w:sz w:val="20"/>
                <w:szCs w:val="20"/>
              </w:rPr>
            </w:pPr>
          </w:p>
        </w:tc>
        <w:tc>
          <w:tcPr>
            <w:tcW w:w="240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313" w:hRule="atLeast"/>
        </w:trPr>
        <w:tc>
          <w:tcPr>
            <w:tcW w:w="860" w:type="dxa"/>
            <w:tcBorders>
              <w:top w:val="nil"/>
              <w:left w:val="nil"/>
              <w:bottom w:val="nil"/>
              <w:right w:val="nil"/>
            </w:tcBorders>
            <w:shd w:val="clear" w:color="auto" w:fill="auto"/>
            <w:vAlign w:val="center"/>
          </w:tcPr>
          <w:p>
            <w:pPr>
              <w:widowControl/>
              <w:jc w:val="center"/>
              <w:rPr>
                <w:rFonts w:ascii="宋体" w:hAnsi="宋体" w:cs="宋体"/>
                <w:kern w:val="0"/>
                <w:sz w:val="20"/>
                <w:szCs w:val="20"/>
              </w:rPr>
            </w:pPr>
          </w:p>
        </w:tc>
        <w:tc>
          <w:tcPr>
            <w:tcW w:w="11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5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3508"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4111" w:type="dxa"/>
            <w:gridSpan w:val="2"/>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40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80" w:hRule="atLeast"/>
        </w:trPr>
        <w:tc>
          <w:tcPr>
            <w:tcW w:w="11199" w:type="dxa"/>
            <w:gridSpan w:val="6"/>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注：若某部门不存在某项评价内容或评价指标，则该评价内容或评价指标不计入该部门考核评价范围，即该部门评价总分＝不含该评价内容或指标的评价总分/（100-该评价内容或指标所占分值）*100。</w:t>
            </w:r>
          </w:p>
        </w:tc>
        <w:tc>
          <w:tcPr>
            <w:tcW w:w="2409" w:type="dxa"/>
            <w:tcBorders>
              <w:top w:val="nil"/>
              <w:left w:val="nil"/>
              <w:bottom w:val="nil"/>
              <w:right w:val="nil"/>
            </w:tcBorders>
            <w:shd w:val="clear" w:color="auto" w:fill="auto"/>
            <w:vAlign w:val="center"/>
          </w:tcPr>
          <w:p>
            <w:pPr>
              <w:widowControl/>
              <w:jc w:val="left"/>
              <w:rPr>
                <w:rFonts w:ascii="宋体" w:hAnsi="宋体" w:cs="宋体"/>
                <w:b/>
                <w:bCs/>
                <w:kern w:val="0"/>
                <w:sz w:val="20"/>
                <w:szCs w:val="20"/>
              </w:rPr>
            </w:pPr>
          </w:p>
        </w:tc>
      </w:tr>
    </w:tbl>
    <w:p/>
    <w:p>
      <w:pPr>
        <w:spacing w:line="600" w:lineRule="exact"/>
        <w:jc w:val="center"/>
        <w:outlineLvl w:val="0"/>
        <w:rPr>
          <w:rFonts w:ascii="黑体" w:hAnsi="黑体" w:eastAsia="黑体" w:cs="方正小标宋简体"/>
          <w:sz w:val="36"/>
          <w:szCs w:val="36"/>
        </w:rPr>
        <w:sectPr>
          <w:pgSz w:w="16838" w:h="11906" w:orient="landscape"/>
          <w:pgMar w:top="1797" w:right="1440" w:bottom="1797" w:left="1440" w:header="851" w:footer="992" w:gutter="0"/>
          <w:pgNumType w:start="1"/>
          <w:cols w:space="425" w:num="1"/>
          <w:titlePg/>
          <w:docGrid w:type="linesAndChars" w:linePitch="312" w:charSpace="0"/>
        </w:sectPr>
      </w:pPr>
      <w:bookmarkStart w:id="60" w:name="_Toc15396616"/>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 xml:space="preserve">达川区管村初级中学 </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2018年部门整体支出绩效评价报告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达川区管村初级中学是一所农村单设初中，单位性质为：全额拨款事业单位，设立5个内设部门：教务处、政教处、安全办公室、党建办公室、后勤处。</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（二）机构职能。</w:t>
      </w:r>
    </w:p>
    <w:p>
      <w:pPr>
        <w:spacing w:line="578" w:lineRule="exact"/>
        <w:ind w:firstLine="630"/>
        <w:jc w:val="left"/>
        <w:rPr>
          <w:rFonts w:ascii="仿宋" w:hAnsi="仿宋" w:eastAsia="仿宋"/>
          <w:bCs/>
          <w:sz w:val="32"/>
          <w:szCs w:val="32"/>
        </w:rPr>
      </w:pPr>
      <w:r>
        <w:rPr>
          <w:rFonts w:hint="eastAsia" w:ascii="仿宋" w:hAnsi="仿宋" w:eastAsia="仿宋"/>
          <w:sz w:val="32"/>
          <w:szCs w:val="32"/>
        </w:rPr>
        <w:t>我单位的基本职能是：组织教育教学、科学研究活动，保证教育教学质量,提升学生的综合素质。维护教职工利益，保障教职工合法权益，以教职工和学生的人生幸福和生命质量作为重点。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（三）人员概况。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2018年我校在职教职工80人，临聘人员5人。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（一）部门财政资金收入情况。</w:t>
      </w:r>
    </w:p>
    <w:p>
      <w:pPr>
        <w:spacing w:line="580" w:lineRule="exact"/>
        <w:ind w:firstLine="640" w:firstLineChars="200"/>
        <w:rPr>
          <w:rFonts w:ascii="仿宋" w:hAnsi="仿宋" w:eastAsia="仿宋" w:cs="仿宋_GB2312"/>
          <w:sz w:val="32"/>
          <w:szCs w:val="32"/>
        </w:rPr>
      </w:pPr>
      <w:r>
        <w:rPr>
          <w:rFonts w:ascii="仿宋" w:hAnsi="仿宋" w:eastAsia="仿宋"/>
          <w:sz w:val="32"/>
          <w:szCs w:val="32"/>
        </w:rPr>
        <w:t>201</w:t>
      </w:r>
      <w:r>
        <w:rPr>
          <w:rFonts w:hint="eastAsia" w:ascii="仿宋" w:hAnsi="仿宋" w:eastAsia="仿宋"/>
          <w:sz w:val="32"/>
          <w:szCs w:val="32"/>
        </w:rPr>
        <w:t>8年本年收入合计1306.86万元，其中：一般公共预算财政拨款收入1255.04万元，占96.03%；政府性基金预算财政拨款收入51.82万元，占3.97%。</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（二）部门财政资金支出情况。</w:t>
      </w:r>
    </w:p>
    <w:p>
      <w:pPr>
        <w:spacing w:line="600" w:lineRule="exact"/>
        <w:ind w:firstLine="640"/>
        <w:rPr>
          <w:rFonts w:ascii="仿宋" w:hAnsi="仿宋" w:eastAsia="仿宋"/>
          <w:sz w:val="32"/>
          <w:szCs w:val="32"/>
          <w:shd w:val="pct10" w:color="auto" w:fill="FFFFFF"/>
        </w:rPr>
      </w:pPr>
      <w:r>
        <w:rPr>
          <w:rFonts w:ascii="仿宋" w:hAnsi="仿宋" w:eastAsia="仿宋"/>
          <w:sz w:val="32"/>
          <w:szCs w:val="32"/>
        </w:rPr>
        <w:t>201</w:t>
      </w:r>
      <w:r>
        <w:rPr>
          <w:rFonts w:hint="eastAsia" w:ascii="仿宋" w:hAnsi="仿宋" w:eastAsia="仿宋"/>
          <w:sz w:val="32"/>
          <w:szCs w:val="32"/>
        </w:rPr>
        <w:t>8年本年支出合计1428.23万元，其中：基本支出1276.91万元，占89.41%；项目支出151.32万元，占10.59%。</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制定了切实有效的绩效预算目标并严格按照既定目标实施，执行总体较为有效、效果良好。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专项预算项目程序严密、规划合理、结果符合、分配科学、分配及时、专项预算绩效目标完成</w:t>
      </w:r>
      <w:r>
        <w:rPr>
          <w:rFonts w:hint="eastAsia" w:ascii="仿宋" w:hAnsi="仿宋" w:eastAsia="仿宋" w:cs="仿宋_GB2312"/>
          <w:sz w:val="32"/>
          <w:szCs w:val="32"/>
        </w:rPr>
        <w:t>情况良好</w:t>
      </w:r>
      <w:r>
        <w:rPr>
          <w:rFonts w:ascii="仿宋" w:hAnsi="仿宋" w:eastAsia="仿宋" w:cs="仿宋_GB2312"/>
          <w:sz w:val="32"/>
          <w:szCs w:val="32"/>
        </w:rPr>
        <w:t>。</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部门自评质量</w:t>
      </w:r>
      <w:r>
        <w:rPr>
          <w:rFonts w:hint="eastAsia" w:ascii="仿宋" w:hAnsi="仿宋" w:eastAsia="仿宋" w:cs="仿宋_GB2312"/>
          <w:sz w:val="32"/>
          <w:szCs w:val="32"/>
        </w:rPr>
        <w:t>较好</w:t>
      </w:r>
      <w:r>
        <w:rPr>
          <w:rFonts w:ascii="仿宋" w:hAnsi="仿宋" w:eastAsia="仿宋" w:cs="仿宋_GB2312"/>
          <w:sz w:val="32"/>
          <w:szCs w:val="32"/>
        </w:rPr>
        <w:t>、</w:t>
      </w:r>
      <w:r>
        <w:rPr>
          <w:rFonts w:hint="eastAsia" w:ascii="仿宋" w:hAnsi="仿宋" w:eastAsia="仿宋" w:cs="仿宋_GB2312"/>
          <w:sz w:val="32"/>
          <w:szCs w:val="32"/>
        </w:rPr>
        <w:t>做到</w:t>
      </w:r>
      <w:r>
        <w:rPr>
          <w:rFonts w:ascii="仿宋" w:hAnsi="仿宋" w:eastAsia="仿宋" w:cs="仿宋_GB2312"/>
          <w:sz w:val="32"/>
          <w:szCs w:val="32"/>
        </w:rPr>
        <w:t>绩效目标公开和自评公开</w:t>
      </w:r>
      <w:r>
        <w:rPr>
          <w:rFonts w:hint="eastAsia" w:ascii="仿宋" w:hAnsi="仿宋" w:eastAsia="仿宋" w:cs="仿宋_GB2312"/>
          <w:sz w:val="32"/>
          <w:szCs w:val="32"/>
        </w:rPr>
        <w:t>同时做好</w:t>
      </w:r>
      <w:r>
        <w:rPr>
          <w:rFonts w:ascii="仿宋" w:hAnsi="仿宋" w:eastAsia="仿宋" w:cs="仿宋_GB2312"/>
          <w:sz w:val="32"/>
          <w:szCs w:val="32"/>
        </w:rPr>
        <w:t>评价结果整改和应用结果反馈</w:t>
      </w:r>
      <w:r>
        <w:rPr>
          <w:rFonts w:hint="eastAsia" w:ascii="仿宋" w:hAnsi="仿宋" w:eastAsia="仿宋" w:cs="仿宋_GB2312"/>
          <w:sz w:val="32"/>
          <w:szCs w:val="32"/>
        </w:rPr>
        <w:t>工作</w:t>
      </w:r>
      <w:r>
        <w:rPr>
          <w:rFonts w:ascii="仿宋" w:hAnsi="仿宋" w:eastAsia="仿宋" w:cs="仿宋_GB2312"/>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我校部门整体支出绩效评价结论为：良好。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（二）存在问题。</w:t>
      </w:r>
    </w:p>
    <w:p>
      <w:pPr>
        <w:spacing w:line="580" w:lineRule="exact"/>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预算财务分析工作须常态化，</w:t>
      </w:r>
      <w:r>
        <w:rPr>
          <w:rFonts w:hint="eastAsia" w:ascii="仿宋" w:hAnsi="仿宋" w:eastAsia="仿宋" w:cs="仿宋_GB2312"/>
          <w:sz w:val="32"/>
          <w:szCs w:val="32"/>
        </w:rPr>
        <w:t>预算编制有待更严格执行。预算编制与实际支出项目有的存在差异。</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（三）改进建议。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预算财务分析工作常态化，定期做好预算支出财务分析，做好部门整体支出预算评价工作。</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3"/>
        <w:rPr>
          <w:rStyle w:val="25"/>
          <w:rFonts w:ascii="仿宋" w:hAnsi="仿宋" w:eastAsia="仿宋"/>
          <w:b/>
          <w:bCs/>
          <w:sz w:val="32"/>
          <w:szCs w:val="32"/>
        </w:rPr>
        <w:sectPr>
          <w:pgSz w:w="11906" w:h="16838"/>
          <w:pgMar w:top="1440" w:right="1797" w:bottom="1440" w:left="1797" w:header="851" w:footer="992" w:gutter="0"/>
          <w:pgNumType w:start="1"/>
          <w:cols w:space="425" w:num="1"/>
          <w:titlePg/>
          <w:docGrid w:type="lines" w:linePitch="312" w:charSpace="0"/>
        </w:sectPr>
      </w:pPr>
    </w:p>
    <w:p>
      <w:pPr>
        <w:pStyle w:val="3"/>
        <w:rPr>
          <w:rStyle w:val="25"/>
          <w:rFonts w:ascii="仿宋" w:hAnsi="仿宋" w:eastAsia="仿宋"/>
          <w:b w:val="0"/>
          <w:bCs w:val="0"/>
          <w:sz w:val="32"/>
          <w:szCs w:val="32"/>
        </w:rPr>
      </w:pPr>
      <w:r>
        <w:rPr>
          <w:rStyle w:val="25"/>
          <w:rFonts w:hint="eastAsia" w:ascii="仿宋" w:hAnsi="仿宋" w:eastAsia="仿宋"/>
          <w:b w:val="0"/>
          <w:bCs w:val="0"/>
          <w:sz w:val="32"/>
          <w:szCs w:val="32"/>
        </w:rPr>
        <w:t>附件2</w:t>
      </w:r>
    </w:p>
    <w:tbl>
      <w:tblPr>
        <w:tblStyle w:val="12"/>
        <w:tblW w:w="13920" w:type="dxa"/>
        <w:tblInd w:w="108" w:type="dxa"/>
        <w:tblLayout w:type="autofit"/>
        <w:tblCellMar>
          <w:top w:w="0" w:type="dxa"/>
          <w:left w:w="108" w:type="dxa"/>
          <w:bottom w:w="0" w:type="dxa"/>
          <w:right w:w="108" w:type="dxa"/>
        </w:tblCellMar>
      </w:tblPr>
      <w:tblGrid>
        <w:gridCol w:w="1040"/>
        <w:gridCol w:w="1040"/>
        <w:gridCol w:w="1260"/>
        <w:gridCol w:w="3400"/>
        <w:gridCol w:w="3900"/>
        <w:gridCol w:w="2000"/>
        <w:gridCol w:w="1280"/>
      </w:tblGrid>
      <w:tr>
        <w:tblPrEx>
          <w:tblCellMar>
            <w:top w:w="0" w:type="dxa"/>
            <w:left w:w="108" w:type="dxa"/>
            <w:bottom w:w="0" w:type="dxa"/>
            <w:right w:w="108" w:type="dxa"/>
          </w:tblCellMar>
        </w:tblPrEx>
        <w:trPr>
          <w:trHeight w:val="1068" w:hRule="atLeast"/>
        </w:trPr>
        <w:tc>
          <w:tcPr>
            <w:tcW w:w="12640" w:type="dxa"/>
            <w:gridSpan w:val="6"/>
            <w:tcBorders>
              <w:top w:val="nil"/>
              <w:left w:val="nil"/>
              <w:bottom w:val="single" w:color="auto" w:sz="4" w:space="0"/>
              <w:right w:val="nil"/>
            </w:tcBorders>
            <w:shd w:val="clear" w:color="000000" w:fill="FFFFFF"/>
            <w:noWrap/>
            <w:vAlign w:val="center"/>
          </w:tcPr>
          <w:p>
            <w:pPr>
              <w:widowControl/>
              <w:jc w:val="center"/>
              <w:rPr>
                <w:rFonts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达川区</w:t>
            </w:r>
            <w:r>
              <w:rPr>
                <w:rFonts w:hint="eastAsia" w:ascii="Microsoft YaHei UI" w:hAnsi="Microsoft YaHei UI" w:eastAsia="Microsoft YaHei UI" w:cs="宋体"/>
                <w:kern w:val="0"/>
                <w:sz w:val="36"/>
                <w:szCs w:val="36"/>
              </w:rPr>
              <w:t>管村初级中学</w:t>
            </w:r>
            <w:r>
              <w:rPr>
                <w:rFonts w:hint="eastAsia" w:ascii="方正小标宋简体" w:hAnsi="宋体" w:eastAsia="方正小标宋简体" w:cs="宋体"/>
                <w:kern w:val="0"/>
                <w:sz w:val="36"/>
                <w:szCs w:val="36"/>
              </w:rPr>
              <w:t>单位项目支出绩效评价得分表</w:t>
            </w:r>
          </w:p>
        </w:tc>
        <w:tc>
          <w:tcPr>
            <w:tcW w:w="1280" w:type="dxa"/>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p>
        </w:tc>
      </w:tr>
      <w:tr>
        <w:tblPrEx>
          <w:tblCellMar>
            <w:top w:w="0" w:type="dxa"/>
            <w:left w:w="108" w:type="dxa"/>
            <w:bottom w:w="0" w:type="dxa"/>
            <w:right w:w="108" w:type="dxa"/>
          </w:tblCellMar>
        </w:tblPrEx>
        <w:trPr>
          <w:trHeight w:val="555" w:hRule="atLeast"/>
        </w:trPr>
        <w:tc>
          <w:tcPr>
            <w:tcW w:w="104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一级指标</w:t>
            </w:r>
          </w:p>
        </w:tc>
        <w:tc>
          <w:tcPr>
            <w:tcW w:w="104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二级指标</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三级指标</w:t>
            </w:r>
          </w:p>
        </w:tc>
        <w:tc>
          <w:tcPr>
            <w:tcW w:w="34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指标解释</w:t>
            </w:r>
          </w:p>
        </w:tc>
        <w:tc>
          <w:tcPr>
            <w:tcW w:w="39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考核要点</w:t>
            </w:r>
          </w:p>
        </w:tc>
        <w:tc>
          <w:tcPr>
            <w:tcW w:w="200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计分标准</w:t>
            </w:r>
          </w:p>
        </w:tc>
        <w:tc>
          <w:tcPr>
            <w:tcW w:w="12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b/>
                <w:bCs/>
                <w:kern w:val="0"/>
                <w:sz w:val="20"/>
                <w:szCs w:val="20"/>
              </w:rPr>
            </w:pPr>
            <w:r>
              <w:rPr>
                <w:rFonts w:hint="eastAsia" w:ascii="楷体_GB2312" w:hAnsi="宋体" w:eastAsia="楷体_GB2312" w:cs="宋体"/>
                <w:b/>
                <w:bCs/>
                <w:kern w:val="0"/>
                <w:sz w:val="20"/>
                <w:szCs w:val="20"/>
              </w:rPr>
              <w:t>自评得分</w:t>
            </w:r>
          </w:p>
        </w:tc>
      </w:tr>
      <w:tr>
        <w:tblPrEx>
          <w:tblCellMar>
            <w:top w:w="0" w:type="dxa"/>
            <w:left w:w="108" w:type="dxa"/>
            <w:bottom w:w="0" w:type="dxa"/>
            <w:right w:w="108" w:type="dxa"/>
          </w:tblCellMar>
        </w:tblPrEx>
        <w:trPr>
          <w:trHeight w:val="111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投   入（20分）</w:t>
            </w: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立项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项目立项规范性（3分）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项目的申请、设立过程是否符合相关要求，用以反映和考核项目立项的规范情况。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①项目是否按照规定的程序申请设立；</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②所提交的文件、材料是否符合相关要求；</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③事前是否已经过必要的可行性研究、专家论证、风险评估、集体决策等。</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35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目标设置合理性（4分）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项目所设定的预期目标是否依据充分，是否符合客观实际，用以反映和考核项目目标与实施项目的相符情况。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①是否符合国家相关法律法规、国民经济发展规划和党委政府决策；</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②是否与项目实施单位或委托单位职责密切相关；</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③项目是否为促进事业发展所必需；</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④项目预期产出效益和效果是否符合正常的业绩水平。</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26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绩效指标明确性（3分）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依据绩效目标设定的绩效指标是否清晰、细化、可衡量等，用以反映和考核项目绩效目标的明细化情况。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①是否将项目绩效目标细化分解为具体的绩效指标；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②是否通过清晰、可衡量的指标值予以体现；</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③是否与项目年度任务数或计划数相对应；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④是否与预算确定的项目投资额或资金量相匹配。</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按不符规定项扣分，出现1项，扣1分，直至扣完不得分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00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落实</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（10分）</w:t>
            </w: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项目来源明确资金与计划投入资金的比率，用以反映和考核资金来源情况对项目实施的总体保障程度。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资金保障率=（已确定资金/计划投入资金）×100%。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已明确资金：指项目实施前已有明确资金来源的，包括提前下达的资金。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计划投入资金：一定时期（本年度或项目期）内计划投入到该项目的资金。</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大于80%，得满分；50%-80%，得3分；低于50%，不得分。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91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在规定时点内，实际到位资金与计划投入的资金的比率，用以反映和考核资金落实情况对项目实施的总体保障程度。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资金到位率=（实际到位资金/计划投入资金）×100%。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实际到位资金：一定时期（本年度或项目期）内实际落实到具体项目的资金。</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计划投入资金：一定时期（本年度或项目期）内计划投入到具体项目的资金。</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快于工程进度的，得满分；低于工程进度在30%以内的，得3分；低于工程进度30%以上的，不得分。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84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10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管理制度健全性（4分）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项目实施单位的项目管理制度是否健全，用以反映和考核项目管理制度对项目顺利实施的保障情况。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①是否已制定或具有相应的项目管理制度；</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②项目管理制度是否合法、合规、完整。</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4</w:t>
            </w:r>
          </w:p>
        </w:tc>
      </w:tr>
      <w:tr>
        <w:tblPrEx>
          <w:tblCellMar>
            <w:top w:w="0" w:type="dxa"/>
            <w:left w:w="108" w:type="dxa"/>
            <w:bottom w:w="0" w:type="dxa"/>
            <w:right w:w="108" w:type="dxa"/>
          </w:tblCellMar>
        </w:tblPrEx>
        <w:trPr>
          <w:trHeight w:val="1428"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制度执行有效性（6分）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项目实施是否符合相关项目管理规定，用以反映和考核项目管理制度的有效执行情况。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①是否遵守相关法律法规和业务管理规定；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②项目调整及支出调整手续是否完备；</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③项目合同书、验收报告、技术鉴定等资料是否齐全并及时归档；</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④项目实施的人员条件、场地设备、信息支撑等是否落实到位。</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出现1处不按规定执行的，扣1分，直至扣完为止。</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142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管  理（30分）</w:t>
            </w:r>
          </w:p>
        </w:tc>
        <w:tc>
          <w:tcPr>
            <w:tcW w:w="1040" w:type="dxa"/>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业务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管理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项目质量可控性（5分）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项目实施单位是否为达到项目质量要求而采取了必需的措施,用以反映和考核项目实施单位对项目质量的控制情况。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①是否已制定或具有相应的项目质量要求或标准；</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②项目实施主体是否具体相应执行能力。</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③是否采取了相应的项目质量检查、验收等必需的控制措施或手段。</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74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财务</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控制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（15分）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财务制度健全性（3分）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项目实施单位的财务制度是否健全，用以反映和考核财务管理制度对资金规范、安全运行的保障情况。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①是否已制定或具有相应的项目资金管理办法；</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②项目资金管理办法是否符合相关财务会计制度的规定。</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出现制度缺失或发现1处管理漏洞，不得分。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3</w:t>
            </w:r>
          </w:p>
        </w:tc>
      </w:tr>
      <w:tr>
        <w:tblPrEx>
          <w:tblCellMar>
            <w:top w:w="0" w:type="dxa"/>
            <w:left w:w="108" w:type="dxa"/>
            <w:bottom w:w="0" w:type="dxa"/>
            <w:right w:w="108" w:type="dxa"/>
          </w:tblCellMar>
        </w:tblPrEx>
        <w:trPr>
          <w:trHeight w:val="1933"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资金使用合规性（10）</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项目资金使用是否符合相关的财务管理制度规定，用以反映和考核项目资金的规范运行情况。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①是否符合国家财经法规和财务管理制度以及有关专项资金管理办法的规定；</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②资金的拨付是否有完整的审批程序和手续；</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③项目的重大开支是否经过评估认证；</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④是否符合项目预算批复或合同规定的用途；</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⑤是否存在截留、挤占、挪用、虚列支出等情况。</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出现1处资金使用管理违规现象，扣1分，直至扣完为止。</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10</w:t>
            </w:r>
          </w:p>
        </w:tc>
      </w:tr>
      <w:tr>
        <w:tblPrEx>
          <w:tblCellMar>
            <w:top w:w="0" w:type="dxa"/>
            <w:left w:w="108" w:type="dxa"/>
            <w:bottom w:w="0" w:type="dxa"/>
            <w:right w:w="108" w:type="dxa"/>
          </w:tblCellMar>
        </w:tblPrEx>
        <w:trPr>
          <w:trHeight w:val="1095"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财务监控有效性（2分）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项目实施单位是否为保障资金的安全、规范运行而采取了必要的监控措施，用以反映和考核项目实施单位对资金运行的控制情况。</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评价要点：</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①是否已制定或具有相应的监控机制；</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②是否采取了相应的财务检查等必要的监控措施或手段。</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出现制度缺失或财务违规现象，不得分。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2</w:t>
            </w:r>
          </w:p>
        </w:tc>
      </w:tr>
      <w:tr>
        <w:tblPrEx>
          <w:tblCellMar>
            <w:top w:w="0" w:type="dxa"/>
            <w:left w:w="108" w:type="dxa"/>
            <w:bottom w:w="0" w:type="dxa"/>
            <w:right w:w="108" w:type="dxa"/>
          </w:tblCellMar>
        </w:tblPrEx>
        <w:trPr>
          <w:trHeight w:val="1248" w:hRule="atLeast"/>
        </w:trPr>
        <w:tc>
          <w:tcPr>
            <w:tcW w:w="1040" w:type="dxa"/>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1040"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项目实施的实际产出数与计划产出数的比率，用以反映和考核项目产出数量目标的实现程度。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目标差异率=（实际产出数-计划产出数）/计划产出数×100%。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实际产出数：一定时期（本年度或项目期）内项目实际产出的产品或提供的服务数量。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计划产出数：项目绩效目标确定的在一定时期（本年度或项目期）内计划产出的产品或提供的服务数量。</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若：-10%&lt;差异率&lt;15%，得满分;15%&lt;差异率&lt;30%，得3分;差异率&lt;-10%,差异率&gt;30%,不得分。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188" w:hRule="atLeast"/>
        </w:trPr>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项目实际完成时间与计划完成时间的比率，用以反映和考核项目产出时效目标的实现程度。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项目进度率=实际完成时间/计划完成时间×100%。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实际完成时间：项目实施单位完成该项目实际所耗用的时间。</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计划完成时间：按照项目实施计划或相关规定完成该项目所需的时间。</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不超过100%，得满分；不超过120%,得3分；超过120%，不得分。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1300" w:hRule="atLeast"/>
        </w:trPr>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nil"/>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项目完成的质量达标产出数与实际产出数的比率，用以反映和考核项目产出质量目标的实现程度。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质量达标率=（质量达标产出数/实际产出数）×100%。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质量达标产出数：一定时期（本年度或项目期）内实际达到既定质量标准的产品或服务数量。</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既定质量标准是指项目实施单位设立绩效目标时依据计划标准、行业标准、历史标准或其他标准而设定的绩效指标值。</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超过90%，得满分，超过70%，得3分；低于70%，不得分。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2070" w:hRule="atLeast"/>
        </w:trPr>
        <w:tc>
          <w:tcPr>
            <w:tcW w:w="1040" w:type="dxa"/>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产 出（20分）</w:t>
            </w:r>
          </w:p>
        </w:tc>
        <w:tc>
          <w:tcPr>
            <w:tcW w:w="1040" w:type="dxa"/>
            <w:tcBorders>
              <w:top w:val="nil"/>
              <w:left w:val="nil"/>
              <w:bottom w:val="nil"/>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成果</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（20分）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完成项目计划工作目标的实际节约成本与计划成本的比率，用以反映和考核项目的成本节约程度。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成本节约率=[（实际成本-计划成本）/计划成本]×100%。</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实际成本：项目实施单位如期、保质、保量完成既定工作目标实际所耗费的支出。</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计划成本：项目实施单位为完成工作目标计划安排的支出，一般以项目预算为参考。</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低于0，得满分；不超过10%，得3分；超过10%，不得分。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r>
        <w:tblPrEx>
          <w:tblCellMar>
            <w:top w:w="0" w:type="dxa"/>
            <w:left w:w="108" w:type="dxa"/>
            <w:bottom w:w="0" w:type="dxa"/>
            <w:right w:w="108" w:type="dxa"/>
          </w:tblCellMar>
        </w:tblPrEx>
        <w:trPr>
          <w:trHeight w:val="570" w:hRule="atLeast"/>
        </w:trPr>
        <w:tc>
          <w:tcPr>
            <w:tcW w:w="104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效   果（30分）</w:t>
            </w:r>
          </w:p>
        </w:tc>
        <w:tc>
          <w:tcPr>
            <w:tcW w:w="10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项目</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效益</w:t>
            </w:r>
            <w:r>
              <w:rPr>
                <w:rFonts w:hint="eastAsia" w:ascii="楷体_GB2312" w:hAnsi="宋体" w:eastAsia="楷体_GB2312" w:cs="宋体"/>
                <w:kern w:val="0"/>
                <w:sz w:val="20"/>
                <w:szCs w:val="20"/>
              </w:rPr>
              <w:br w:type="textWrapping"/>
            </w:r>
            <w:r>
              <w:rPr>
                <w:rFonts w:hint="eastAsia" w:ascii="楷体_GB2312" w:hAnsi="宋体" w:eastAsia="楷体_GB2312" w:cs="宋体"/>
                <w:kern w:val="0"/>
                <w:sz w:val="20"/>
                <w:szCs w:val="20"/>
              </w:rPr>
              <w:t>（30分）</w:t>
            </w: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经济效益</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项目实施对经济发展所带来的直接或间接影响情况。</w:t>
            </w:r>
          </w:p>
        </w:tc>
        <w:tc>
          <w:tcPr>
            <w:tcW w:w="39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此类指标为设置项目支出绩效评价指标时考虑的特性要素，可根据项目实际并结合绩效目标设立情况有选择的进行设置，并将其细化为相应的个性化指标，但特性指标设置不得低于3个。</w:t>
            </w:r>
          </w:p>
        </w:tc>
        <w:tc>
          <w:tcPr>
            <w:tcW w:w="200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楷体_GB2312" w:hAnsi="宋体" w:eastAsia="楷体_GB2312" w:cs="宋体"/>
                <w:kern w:val="0"/>
                <w:sz w:val="20"/>
                <w:szCs w:val="20"/>
              </w:rPr>
            </w:pPr>
            <w:r>
              <w:rPr>
                <w:rFonts w:hint="eastAsia" w:ascii="楷体_GB2312" w:hAnsi="宋体" w:eastAsia="楷体_GB2312" w:cs="宋体"/>
                <w:kern w:val="0"/>
                <w:sz w:val="20"/>
                <w:szCs w:val="20"/>
              </w:rPr>
              <w:t>根据具体指标特性设置得分标准。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9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社会效益</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项目实施对社会发展所带来的直接或间接影响情况。</w:t>
            </w:r>
          </w:p>
        </w:tc>
        <w:tc>
          <w:tcPr>
            <w:tcW w:w="39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3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生态效益</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项目实施对生态环境所带来的直接或间接影响情况。</w:t>
            </w:r>
          </w:p>
        </w:tc>
        <w:tc>
          <w:tcPr>
            <w:tcW w:w="39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63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可持续影响</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项目后续运行及成效发挥的可持续影响情况。</w:t>
            </w:r>
          </w:p>
        </w:tc>
        <w:tc>
          <w:tcPr>
            <w:tcW w:w="39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200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6</w:t>
            </w:r>
          </w:p>
        </w:tc>
      </w:tr>
      <w:tr>
        <w:tblPrEx>
          <w:tblCellMar>
            <w:top w:w="0" w:type="dxa"/>
            <w:left w:w="108" w:type="dxa"/>
            <w:bottom w:w="0" w:type="dxa"/>
            <w:right w:w="108" w:type="dxa"/>
          </w:tblCellMar>
        </w:tblPrEx>
        <w:trPr>
          <w:trHeight w:val="780" w:hRule="atLeast"/>
        </w:trPr>
        <w:tc>
          <w:tcPr>
            <w:tcW w:w="1040" w:type="dxa"/>
            <w:vMerge w:val="continue"/>
            <w:tcBorders>
              <w:top w:val="nil"/>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0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 w:val="20"/>
                <w:szCs w:val="20"/>
              </w:rPr>
            </w:pPr>
          </w:p>
        </w:tc>
        <w:tc>
          <w:tcPr>
            <w:tcW w:w="126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社会公众或服务对象满意度（5分）</w:t>
            </w:r>
          </w:p>
        </w:tc>
        <w:tc>
          <w:tcPr>
            <w:tcW w:w="34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社会公众或服务对象对项目实施效果的满意程度。</w:t>
            </w:r>
          </w:p>
        </w:tc>
        <w:tc>
          <w:tcPr>
            <w:tcW w:w="39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社会公众或服务对象是指因该项目实施而受到影响的部门（单位）、群体或个人；一般采取社会调查的方式；调查份数不低于10份。</w:t>
            </w:r>
          </w:p>
        </w:tc>
        <w:tc>
          <w:tcPr>
            <w:tcW w:w="2000" w:type="dxa"/>
            <w:tcBorders>
              <w:top w:val="nil"/>
              <w:left w:val="nil"/>
              <w:bottom w:val="single" w:color="auto" w:sz="4" w:space="0"/>
              <w:right w:val="single" w:color="auto" w:sz="4" w:space="0"/>
            </w:tcBorders>
            <w:shd w:val="clear" w:color="000000" w:fill="FFFFFF"/>
            <w:vAlign w:val="center"/>
          </w:tcPr>
          <w:p>
            <w:pPr>
              <w:widowControl/>
              <w:jc w:val="left"/>
              <w:rPr>
                <w:rFonts w:ascii="楷体_GB2312" w:hAnsi="宋体" w:eastAsia="楷体_GB2312" w:cs="宋体"/>
                <w:kern w:val="0"/>
                <w:sz w:val="20"/>
                <w:szCs w:val="20"/>
              </w:rPr>
            </w:pPr>
            <w:r>
              <w:rPr>
                <w:rFonts w:hint="eastAsia" w:ascii="楷体_GB2312" w:hAnsi="宋体" w:eastAsia="楷体_GB2312" w:cs="宋体"/>
                <w:kern w:val="0"/>
                <w:sz w:val="20"/>
                <w:szCs w:val="20"/>
              </w:rPr>
              <w:t>满意度&gt;90%，才得分，低于不得分。</w:t>
            </w:r>
          </w:p>
        </w:tc>
        <w:tc>
          <w:tcPr>
            <w:tcW w:w="12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5</w:t>
            </w:r>
          </w:p>
        </w:tc>
      </w:tr>
    </w:tbl>
    <w:p>
      <w:pPr>
        <w:pStyle w:val="3"/>
        <w:rPr>
          <w:rStyle w:val="25"/>
          <w:rFonts w:ascii="仿宋" w:hAnsi="仿宋" w:eastAsia="仿宋"/>
          <w:b w:val="0"/>
          <w:bCs w:val="0"/>
          <w:sz w:val="32"/>
          <w:szCs w:val="32"/>
        </w:rPr>
      </w:pPr>
    </w:p>
    <w:p>
      <w:pPr>
        <w:spacing w:line="580" w:lineRule="exact"/>
        <w:jc w:val="center"/>
        <w:rPr>
          <w:rFonts w:ascii="黑体" w:hAnsi="黑体" w:eastAsia="黑体" w:cs="方正小标宋简体"/>
          <w:sz w:val="44"/>
          <w:szCs w:val="44"/>
        </w:rPr>
        <w:sectPr>
          <w:pgSz w:w="16838" w:h="11906" w:orient="landscape"/>
          <w:pgMar w:top="1797" w:right="1440" w:bottom="1797" w:left="1440" w:header="851" w:footer="992" w:gutter="0"/>
          <w:pgNumType w:start="1"/>
          <w:cols w:space="425" w:num="1"/>
          <w:titlePg/>
          <w:docGrid w:linePitch="312" w:charSpace="0"/>
        </w:sect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达川区管村初级中学</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2018年民生工程以外人员经费项目支出</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w:t>
      </w:r>
      <w:r>
        <w:rPr>
          <w:rFonts w:ascii="仿宋" w:hAnsi="仿宋" w:eastAsia="仿宋" w:cs="仿宋_GB2312"/>
          <w:sz w:val="32"/>
          <w:szCs w:val="32"/>
        </w:rPr>
        <w:t>、评价工作开展及项目情况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财政支出绩效评价是政府绩效管理的重要组成部分，是提高政府效能、坚持厉行节约的重要举措。本次绩效评价的目的是提高支出的责任和效率，形成“花钱必问效、无效必问责”的管理理念，评价结果和整改落实情况将作为来年预算资金分配的依据。本项目绩效评价主要遵循相关性、可比性、重要性、定性和定量相结合、客观公正的原则，依据资金使用的方向和对象，围绕绩效目标，从项目的申请、管理、产出、效益等方面科学设定评价指标体系，采用公众评判、结果比较和加权重分等方式进行评价。</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项目绩效评价总体结论</w:t>
      </w:r>
      <w:r>
        <w:rPr>
          <w:rFonts w:hint="eastAsia" w:ascii="仿宋" w:hAnsi="仿宋" w:eastAsia="仿宋" w:cs="仿宋_GB2312"/>
          <w:sz w:val="32"/>
          <w:szCs w:val="32"/>
        </w:rPr>
        <w:t>良好。</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学校经费的大头是</w:t>
      </w:r>
      <w:r>
        <w:rPr>
          <w:rFonts w:hint="eastAsia" w:ascii="仿宋_GB2312" w:hAnsi="仿宋_GB2312" w:eastAsia="仿宋_GB2312" w:cs="仿宋_GB2312"/>
          <w:sz w:val="32"/>
          <w:szCs w:val="32"/>
        </w:rPr>
        <w:t>民生工程以外</w:t>
      </w:r>
      <w:r>
        <w:rPr>
          <w:rFonts w:hint="eastAsia" w:ascii="仿宋" w:hAnsi="仿宋" w:eastAsia="仿宋" w:cs="仿宋_GB2312"/>
          <w:sz w:val="32"/>
          <w:szCs w:val="32"/>
        </w:rPr>
        <w:t>人员经费，涉及全体教职员工的权益和福利，因此学校把这项费用纳入项目支出绩效评价。</w:t>
      </w:r>
      <w:r>
        <w:rPr>
          <w:rFonts w:ascii="仿宋" w:hAnsi="仿宋" w:eastAsia="仿宋" w:cs="仿宋_GB2312"/>
          <w:sz w:val="32"/>
          <w:szCs w:val="32"/>
        </w:rPr>
        <w:t>绩效目标设置</w:t>
      </w:r>
      <w:r>
        <w:rPr>
          <w:rFonts w:hint="eastAsia" w:ascii="仿宋" w:hAnsi="仿宋" w:eastAsia="仿宋" w:cs="仿宋_GB2312"/>
          <w:sz w:val="32"/>
          <w:szCs w:val="32"/>
        </w:rPr>
        <w:t>为是否足额发放在职教师工资、购买养老保险、职业年金、医保、工伤、住房公积金、工会经费及临聘人员的工资补助。</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资金分配情况</w:t>
      </w:r>
      <w:r>
        <w:rPr>
          <w:rFonts w:hint="eastAsia" w:ascii="仿宋" w:hAnsi="仿宋" w:eastAsia="仿宋" w:cs="仿宋_GB2312"/>
          <w:sz w:val="32"/>
          <w:szCs w:val="32"/>
        </w:rPr>
        <w:t>分配</w:t>
      </w:r>
      <w:r>
        <w:rPr>
          <w:rFonts w:hint="eastAsia" w:ascii="仿宋" w:hAnsi="仿宋" w:eastAsia="仿宋"/>
          <w:sz w:val="32"/>
          <w:szCs w:val="32"/>
        </w:rPr>
        <w:t>781.44</w:t>
      </w:r>
      <w:r>
        <w:rPr>
          <w:rFonts w:hint="eastAsia" w:ascii="仿宋" w:hAnsi="仿宋" w:eastAsia="仿宋" w:cs="仿宋_GB2312"/>
          <w:sz w:val="32"/>
          <w:szCs w:val="32"/>
        </w:rPr>
        <w:t>万元，足额用于发放学校教职员工的工资、五险一金。</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项目目标完成情况</w:t>
      </w:r>
      <w:r>
        <w:rPr>
          <w:rFonts w:hint="eastAsia" w:ascii="仿宋" w:hAnsi="仿宋" w:eastAsia="仿宋" w:cs="仿宋_GB2312"/>
          <w:sz w:val="32"/>
          <w:szCs w:val="32"/>
        </w:rPr>
        <w:t>数量指标做到应享尽享，质量指标做到足额及时补助，时效指标做到全部及时补助，成本指标做到财政拨款及时到位</w:t>
      </w:r>
      <w:r>
        <w:rPr>
          <w:rFonts w:ascii="仿宋" w:hAnsi="仿宋" w:eastAsia="仿宋" w:cs="仿宋_GB2312"/>
          <w:sz w:val="32"/>
          <w:szCs w:val="32"/>
        </w:rPr>
        <w:t>，经济效益</w:t>
      </w:r>
      <w:r>
        <w:rPr>
          <w:rFonts w:hint="eastAsia" w:ascii="仿宋" w:hAnsi="仿宋" w:eastAsia="仿宋" w:cs="仿宋_GB2312"/>
          <w:sz w:val="32"/>
          <w:szCs w:val="32"/>
        </w:rPr>
        <w:t>为让全体教职员工全部及时得到补助，</w:t>
      </w:r>
      <w:r>
        <w:rPr>
          <w:rFonts w:ascii="仿宋" w:hAnsi="仿宋" w:eastAsia="仿宋" w:cs="仿宋_GB2312"/>
          <w:sz w:val="32"/>
          <w:szCs w:val="32"/>
        </w:rPr>
        <w:t>受益群体满意度</w:t>
      </w:r>
      <w:r>
        <w:rPr>
          <w:rFonts w:hint="eastAsia" w:ascii="仿宋" w:hAnsi="仿宋" w:eastAsia="仿宋" w:cs="仿宋_GB2312"/>
          <w:sz w:val="32"/>
          <w:szCs w:val="32"/>
        </w:rPr>
        <w:t>为满意</w:t>
      </w:r>
      <w:r>
        <w:rPr>
          <w:rFonts w:ascii="仿宋" w:hAnsi="仿宋" w:eastAsia="仿宋" w:cs="仿宋_GB2312"/>
          <w:sz w:val="32"/>
          <w:szCs w:val="32"/>
        </w:rPr>
        <w:t>。</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存在主要问题</w:t>
      </w:r>
    </w:p>
    <w:p>
      <w:pPr>
        <w:spacing w:line="580" w:lineRule="exact"/>
        <w:ind w:left="640"/>
        <w:rPr>
          <w:rFonts w:ascii="仿宋" w:hAnsi="仿宋" w:eastAsia="仿宋" w:cs="仿宋_GB2312"/>
          <w:sz w:val="32"/>
          <w:szCs w:val="32"/>
        </w:rPr>
      </w:pPr>
      <w:r>
        <w:rPr>
          <w:rFonts w:hint="eastAsia" w:ascii="仿宋" w:hAnsi="仿宋" w:eastAsia="仿宋" w:cs="仿宋_GB2312"/>
          <w:sz w:val="32"/>
          <w:szCs w:val="32"/>
        </w:rPr>
        <w:t>暂未发现问题。</w:t>
      </w:r>
    </w:p>
    <w:p>
      <w:pPr>
        <w:pStyle w:val="2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left="640"/>
        <w:rPr>
          <w:rStyle w:val="25"/>
          <w:rFonts w:ascii="仿宋" w:hAnsi="仿宋" w:eastAsia="仿宋" w:cs="仿宋_GB2312"/>
          <w:b w:val="0"/>
          <w:bCs w:val="0"/>
          <w:kern w:val="2"/>
          <w:sz w:val="32"/>
          <w:szCs w:val="32"/>
        </w:rPr>
      </w:pPr>
      <w:r>
        <w:rPr>
          <w:rStyle w:val="25"/>
          <w:rFonts w:hint="eastAsia" w:ascii="仿宋" w:hAnsi="仿宋" w:eastAsia="仿宋" w:cs="仿宋_GB2312"/>
          <w:b w:val="0"/>
          <w:bCs w:val="0"/>
          <w:kern w:val="2"/>
          <w:sz w:val="32"/>
          <w:szCs w:val="32"/>
        </w:rPr>
        <w:t>无。</w:t>
      </w: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580" w:lineRule="exact"/>
        <w:ind w:left="640"/>
        <w:rPr>
          <w:rStyle w:val="25"/>
          <w:rFonts w:ascii="仿宋" w:hAnsi="仿宋" w:eastAsia="仿宋" w:cs="仿宋_GB2312"/>
          <w:b w:val="0"/>
          <w:bCs w:val="0"/>
          <w:kern w:val="2"/>
          <w:sz w:val="32"/>
          <w:szCs w:val="32"/>
        </w:rPr>
      </w:pPr>
    </w:p>
    <w:p>
      <w:pPr>
        <w:spacing w:line="600" w:lineRule="exact"/>
        <w:jc w:val="center"/>
        <w:outlineLvl w:val="0"/>
        <w:rPr>
          <w:rStyle w:val="25"/>
          <w:rFonts w:ascii="黑体" w:hAnsi="黑体" w:eastAsia="黑体"/>
          <w:b w:val="0"/>
        </w:rPr>
      </w:pPr>
      <w:bookmarkStart w:id="61" w:name="_Toc15396618"/>
      <w:r>
        <w:rPr>
          <w:rFonts w:hint="eastAsia" w:ascii="黑体" w:hAnsi="黑体" w:eastAsia="黑体"/>
          <w:sz w:val="44"/>
          <w:szCs w:val="44"/>
        </w:rPr>
        <w:t>第</w:t>
      </w:r>
      <w:r>
        <w:rPr>
          <w:rStyle w:val="25"/>
          <w:rFonts w:hint="eastAsia" w:ascii="黑体" w:hAnsi="黑体" w:eastAsia="黑体"/>
          <w:b w:val="0"/>
        </w:rPr>
        <w:t>五部分 附表</w:t>
      </w:r>
      <w:bookmarkEnd w:id="57"/>
      <w:bookmarkEnd w:id="61"/>
    </w:p>
    <w:p>
      <w:pPr>
        <w:spacing w:line="600" w:lineRule="exact"/>
        <w:jc w:val="center"/>
        <w:outlineLvl w:val="0"/>
        <w:rPr>
          <w:rFonts w:ascii="仿宋" w:hAnsi="仿宋" w:eastAsia="仿宋"/>
          <w:b/>
          <w:sz w:val="44"/>
          <w:szCs w:val="44"/>
        </w:rPr>
      </w:pPr>
    </w:p>
    <w:p>
      <w:pPr>
        <w:pStyle w:val="3"/>
        <w:rPr>
          <w:rFonts w:ascii="仿宋" w:hAnsi="仿宋" w:eastAsia="仿宋"/>
        </w:rPr>
      </w:pPr>
      <w:bookmarkStart w:id="62" w:name="_Toc15396619"/>
      <w:r>
        <w:rPr>
          <w:rFonts w:hint="eastAsia" w:ascii="仿宋" w:hAnsi="仿宋" w:eastAsia="仿宋"/>
          <w:b w:val="0"/>
        </w:rPr>
        <w:t>一、收</w:t>
      </w:r>
      <w:r>
        <w:rPr>
          <w:rStyle w:val="26"/>
          <w:rFonts w:hint="eastAsia" w:ascii="仿宋" w:hAnsi="仿宋" w:eastAsia="仿宋"/>
          <w:b w:val="0"/>
          <w:bCs w:val="0"/>
        </w:rPr>
        <w:t>入支出决算总表</w:t>
      </w:r>
      <w:bookmarkEnd w:id="62"/>
    </w:p>
    <w:p>
      <w:pPr>
        <w:pStyle w:val="3"/>
        <w:rPr>
          <w:rFonts w:ascii="仿宋" w:hAnsi="仿宋" w:eastAsia="仿宋"/>
        </w:rPr>
      </w:pPr>
      <w:bookmarkStart w:id="63" w:name="_Toc15396620"/>
      <w:r>
        <w:rPr>
          <w:rFonts w:hint="eastAsia" w:ascii="仿宋" w:hAnsi="仿宋" w:eastAsia="仿宋"/>
          <w:b w:val="0"/>
        </w:rPr>
        <w:t>二、收</w:t>
      </w:r>
      <w:r>
        <w:rPr>
          <w:rStyle w:val="26"/>
          <w:rFonts w:hint="eastAsia" w:ascii="仿宋" w:hAnsi="仿宋" w:eastAsia="仿宋"/>
          <w:b w:val="0"/>
          <w:bCs w:val="0"/>
        </w:rPr>
        <w:t>入总表</w:t>
      </w:r>
      <w:bookmarkEnd w:id="63"/>
    </w:p>
    <w:p>
      <w:pPr>
        <w:pStyle w:val="3"/>
        <w:rPr>
          <w:rFonts w:ascii="仿宋" w:hAnsi="仿宋" w:eastAsia="仿宋"/>
        </w:rPr>
      </w:pPr>
      <w:bookmarkStart w:id="64"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出总表</w:t>
      </w:r>
      <w:bookmarkEnd w:id="64"/>
    </w:p>
    <w:p>
      <w:pPr>
        <w:pStyle w:val="3"/>
        <w:rPr>
          <w:rFonts w:ascii="仿宋" w:hAnsi="仿宋" w:eastAsia="仿宋"/>
          <w:b w:val="0"/>
        </w:rPr>
      </w:pPr>
      <w:bookmarkStart w:id="65"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65"/>
    </w:p>
    <w:p>
      <w:pPr>
        <w:pStyle w:val="3"/>
        <w:rPr>
          <w:rFonts w:ascii="仿宋" w:hAnsi="仿宋" w:eastAsia="仿宋"/>
        </w:rPr>
      </w:pPr>
      <w:bookmarkStart w:id="66"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政拨款支出决算明细表（政府经济分类科目）</w:t>
      </w:r>
      <w:bookmarkEnd w:id="66"/>
    </w:p>
    <w:p>
      <w:pPr>
        <w:pStyle w:val="3"/>
        <w:rPr>
          <w:rFonts w:ascii="仿宋" w:hAnsi="仿宋" w:eastAsia="仿宋"/>
        </w:rPr>
      </w:pPr>
      <w:bookmarkStart w:id="67" w:name="_Toc15396624"/>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67"/>
    </w:p>
    <w:p>
      <w:pPr>
        <w:pStyle w:val="3"/>
        <w:rPr>
          <w:rFonts w:ascii="仿宋" w:hAnsi="仿宋" w:eastAsia="仿宋"/>
        </w:rPr>
      </w:pPr>
      <w:bookmarkStart w:id="68"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8"/>
    </w:p>
    <w:p>
      <w:pPr>
        <w:pStyle w:val="3"/>
        <w:rPr>
          <w:rFonts w:ascii="仿宋" w:hAnsi="仿宋" w:eastAsia="仿宋"/>
        </w:rPr>
      </w:pPr>
      <w:bookmarkStart w:id="69"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9"/>
    </w:p>
    <w:p>
      <w:pPr>
        <w:pStyle w:val="3"/>
        <w:rPr>
          <w:rFonts w:ascii="仿宋" w:hAnsi="仿宋" w:eastAsia="仿宋"/>
        </w:rPr>
      </w:pPr>
      <w:bookmarkStart w:id="70"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70"/>
    </w:p>
    <w:p>
      <w:pPr>
        <w:pStyle w:val="3"/>
        <w:rPr>
          <w:rFonts w:ascii="仿宋" w:hAnsi="仿宋" w:eastAsia="仿宋"/>
        </w:rPr>
      </w:pPr>
      <w:bookmarkStart w:id="71"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71"/>
    </w:p>
    <w:p>
      <w:pPr>
        <w:pStyle w:val="3"/>
        <w:rPr>
          <w:rFonts w:ascii="仿宋" w:hAnsi="仿宋" w:eastAsia="仿宋"/>
        </w:rPr>
      </w:pPr>
      <w:bookmarkStart w:id="72"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72"/>
    </w:p>
    <w:p>
      <w:pPr>
        <w:pStyle w:val="3"/>
        <w:rPr>
          <w:rFonts w:ascii="仿宋" w:hAnsi="仿宋" w:eastAsia="仿宋"/>
        </w:rPr>
      </w:pPr>
      <w:bookmarkStart w:id="73"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73"/>
    </w:p>
    <w:p>
      <w:pPr>
        <w:pStyle w:val="3"/>
        <w:rPr>
          <w:rFonts w:ascii="仿宋" w:hAnsi="仿宋" w:eastAsia="仿宋"/>
        </w:rPr>
      </w:pPr>
      <w:bookmarkStart w:id="74"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有资本经营预算支出决算表</w:t>
      </w:r>
      <w:bookmarkEnd w:id="74"/>
    </w:p>
    <w:sectPr>
      <w:pgSz w:w="11906" w:h="16838"/>
      <w:pgMar w:top="1440" w:right="1797" w:bottom="1440" w:left="1797" w:header="851" w:footer="992" w:gutter="0"/>
      <w:pgNumType w:start="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0000019F" w:csb1="00000000"/>
  </w:font>
  <w:font w:name="Noto Sans Syriac Eastern">
    <w:panose1 w:val="02040503050306020203"/>
    <w:charset w:val="86"/>
    <w:family w:val="auto"/>
    <w:pitch w:val="default"/>
    <w:sig w:usb0="00000000" w:usb1="00000000" w:usb2="00000080" w:usb3="00000000" w:csb0="203E0161" w:csb1="D7FF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Microsoft YaHei UI">
    <w:altName w:val="文泉驿微米黑"/>
    <w:panose1 w:val="020B0503020204020204"/>
    <w:charset w:val="86"/>
    <w:family w:val="swiss"/>
    <w:pitch w:val="default"/>
    <w:sig w:usb0="00000000" w:usb1="00000000" w:usb2="00000016" w:usb3="00000000" w:csb0="0004001F" w:csb1="00000000"/>
  </w:font>
  <w:font w:name="文泉驿微米黑">
    <w:panose1 w:val="020B0606030804020204"/>
    <w:charset w:val="86"/>
    <w:family w:val="auto"/>
    <w:pitch w:val="default"/>
    <w:sig w:usb0="E10002EF" w:usb1="6BDFFCFB" w:usb2="00800036" w:usb3="00000000" w:csb0="603E019F" w:csb1="DFD7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8"/>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7F426B7"/>
    <w:multiLevelType w:val="multilevel"/>
    <w:tmpl w:val="17F426B7"/>
    <w:lvl w:ilvl="0" w:tentative="0">
      <w:start w:val="10"/>
      <w:numFmt w:val="japaneseCounting"/>
      <w:lvlText w:val="%1、"/>
      <w:lvlJc w:val="left"/>
      <w:pPr>
        <w:ind w:left="1429" w:hanging="7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129ED"/>
    <w:rsid w:val="000222C6"/>
    <w:rsid w:val="0002549F"/>
    <w:rsid w:val="000317A9"/>
    <w:rsid w:val="00034B62"/>
    <w:rsid w:val="000433AD"/>
    <w:rsid w:val="0006487A"/>
    <w:rsid w:val="00065F8F"/>
    <w:rsid w:val="000768F2"/>
    <w:rsid w:val="00087BCE"/>
    <w:rsid w:val="0009184B"/>
    <w:rsid w:val="0009593C"/>
    <w:rsid w:val="000A76B5"/>
    <w:rsid w:val="000B047F"/>
    <w:rsid w:val="000B5923"/>
    <w:rsid w:val="000B5A48"/>
    <w:rsid w:val="000B6FF3"/>
    <w:rsid w:val="000C3467"/>
    <w:rsid w:val="000C3CA6"/>
    <w:rsid w:val="000C621C"/>
    <w:rsid w:val="000D1267"/>
    <w:rsid w:val="000D1D50"/>
    <w:rsid w:val="000D293F"/>
    <w:rsid w:val="000D552F"/>
    <w:rsid w:val="000D5782"/>
    <w:rsid w:val="000D724A"/>
    <w:rsid w:val="000E6613"/>
    <w:rsid w:val="000E7119"/>
    <w:rsid w:val="00114E9B"/>
    <w:rsid w:val="00140A23"/>
    <w:rsid w:val="00144650"/>
    <w:rsid w:val="0014729F"/>
    <w:rsid w:val="00157BAB"/>
    <w:rsid w:val="001654D1"/>
    <w:rsid w:val="00180AC2"/>
    <w:rsid w:val="0018106D"/>
    <w:rsid w:val="00185521"/>
    <w:rsid w:val="00185F81"/>
    <w:rsid w:val="001877A7"/>
    <w:rsid w:val="0019150A"/>
    <w:rsid w:val="00191536"/>
    <w:rsid w:val="001941E9"/>
    <w:rsid w:val="00196687"/>
    <w:rsid w:val="001A712A"/>
    <w:rsid w:val="001C0962"/>
    <w:rsid w:val="001C1DF1"/>
    <w:rsid w:val="001D7531"/>
    <w:rsid w:val="001E737D"/>
    <w:rsid w:val="001F0592"/>
    <w:rsid w:val="001F7506"/>
    <w:rsid w:val="001F7B9D"/>
    <w:rsid w:val="002006CD"/>
    <w:rsid w:val="00202B36"/>
    <w:rsid w:val="00204B7A"/>
    <w:rsid w:val="0021101A"/>
    <w:rsid w:val="00216C21"/>
    <w:rsid w:val="00220536"/>
    <w:rsid w:val="00235629"/>
    <w:rsid w:val="00244457"/>
    <w:rsid w:val="00254518"/>
    <w:rsid w:val="00260C38"/>
    <w:rsid w:val="002616C0"/>
    <w:rsid w:val="002617DA"/>
    <w:rsid w:val="002662AA"/>
    <w:rsid w:val="0027365B"/>
    <w:rsid w:val="00275891"/>
    <w:rsid w:val="00280496"/>
    <w:rsid w:val="00295495"/>
    <w:rsid w:val="002A09B6"/>
    <w:rsid w:val="002B009B"/>
    <w:rsid w:val="002B2613"/>
    <w:rsid w:val="002B72EE"/>
    <w:rsid w:val="002D0309"/>
    <w:rsid w:val="002E6620"/>
    <w:rsid w:val="002F1818"/>
    <w:rsid w:val="002F4977"/>
    <w:rsid w:val="002F567B"/>
    <w:rsid w:val="00315E55"/>
    <w:rsid w:val="003216A9"/>
    <w:rsid w:val="00324939"/>
    <w:rsid w:val="00326C11"/>
    <w:rsid w:val="00334AF1"/>
    <w:rsid w:val="00366360"/>
    <w:rsid w:val="0037013F"/>
    <w:rsid w:val="00380C92"/>
    <w:rsid w:val="0038245D"/>
    <w:rsid w:val="0038593C"/>
    <w:rsid w:val="003A484F"/>
    <w:rsid w:val="003B06F3"/>
    <w:rsid w:val="003B0BE0"/>
    <w:rsid w:val="003B0C1B"/>
    <w:rsid w:val="003B2C39"/>
    <w:rsid w:val="003B3D42"/>
    <w:rsid w:val="003B6698"/>
    <w:rsid w:val="003B688C"/>
    <w:rsid w:val="003C0291"/>
    <w:rsid w:val="003C39AE"/>
    <w:rsid w:val="003C7B60"/>
    <w:rsid w:val="003D1C72"/>
    <w:rsid w:val="003D1FB2"/>
    <w:rsid w:val="003D66DA"/>
    <w:rsid w:val="003E1310"/>
    <w:rsid w:val="003E6F55"/>
    <w:rsid w:val="00406254"/>
    <w:rsid w:val="004223DE"/>
    <w:rsid w:val="00423AE8"/>
    <w:rsid w:val="00434489"/>
    <w:rsid w:val="00435B25"/>
    <w:rsid w:val="00437085"/>
    <w:rsid w:val="00443880"/>
    <w:rsid w:val="0044445D"/>
    <w:rsid w:val="004464F4"/>
    <w:rsid w:val="00461BB5"/>
    <w:rsid w:val="00471401"/>
    <w:rsid w:val="004720A1"/>
    <w:rsid w:val="00473F31"/>
    <w:rsid w:val="0048263A"/>
    <w:rsid w:val="00485BE4"/>
    <w:rsid w:val="00487E5D"/>
    <w:rsid w:val="004A711F"/>
    <w:rsid w:val="004B199D"/>
    <w:rsid w:val="004B4690"/>
    <w:rsid w:val="004E0A2D"/>
    <w:rsid w:val="004E206B"/>
    <w:rsid w:val="004E6DF7"/>
    <w:rsid w:val="004F0FBD"/>
    <w:rsid w:val="004F1C74"/>
    <w:rsid w:val="004F6AF8"/>
    <w:rsid w:val="0050025E"/>
    <w:rsid w:val="00505A47"/>
    <w:rsid w:val="00506EA7"/>
    <w:rsid w:val="00512FDA"/>
    <w:rsid w:val="0052008F"/>
    <w:rsid w:val="00520DA0"/>
    <w:rsid w:val="005664BB"/>
    <w:rsid w:val="0057481D"/>
    <w:rsid w:val="0057680D"/>
    <w:rsid w:val="00582A0F"/>
    <w:rsid w:val="0058486E"/>
    <w:rsid w:val="00595FB0"/>
    <w:rsid w:val="005A570F"/>
    <w:rsid w:val="005D1C8B"/>
    <w:rsid w:val="005D5CED"/>
    <w:rsid w:val="005E7EBD"/>
    <w:rsid w:val="005F1A4C"/>
    <w:rsid w:val="005F27DC"/>
    <w:rsid w:val="005F6EF8"/>
    <w:rsid w:val="0060123F"/>
    <w:rsid w:val="00605688"/>
    <w:rsid w:val="006070AF"/>
    <w:rsid w:val="00607E6C"/>
    <w:rsid w:val="006101B1"/>
    <w:rsid w:val="00614E44"/>
    <w:rsid w:val="00622830"/>
    <w:rsid w:val="00630AEF"/>
    <w:rsid w:val="006325F8"/>
    <w:rsid w:val="00634C9A"/>
    <w:rsid w:val="00643146"/>
    <w:rsid w:val="006440E4"/>
    <w:rsid w:val="00646E94"/>
    <w:rsid w:val="0066343B"/>
    <w:rsid w:val="00664777"/>
    <w:rsid w:val="00670089"/>
    <w:rsid w:val="006748A4"/>
    <w:rsid w:val="006831DD"/>
    <w:rsid w:val="00683E73"/>
    <w:rsid w:val="00686BC8"/>
    <w:rsid w:val="00691DDE"/>
    <w:rsid w:val="006932FC"/>
    <w:rsid w:val="006A3141"/>
    <w:rsid w:val="006A5E34"/>
    <w:rsid w:val="006B2422"/>
    <w:rsid w:val="006B2B9A"/>
    <w:rsid w:val="006B707A"/>
    <w:rsid w:val="006C1937"/>
    <w:rsid w:val="006D5521"/>
    <w:rsid w:val="006E2588"/>
    <w:rsid w:val="006F020C"/>
    <w:rsid w:val="00705901"/>
    <w:rsid w:val="007127B7"/>
    <w:rsid w:val="00716D18"/>
    <w:rsid w:val="0072209D"/>
    <w:rsid w:val="00732457"/>
    <w:rsid w:val="00740C28"/>
    <w:rsid w:val="007416B6"/>
    <w:rsid w:val="007428E3"/>
    <w:rsid w:val="00746F48"/>
    <w:rsid w:val="0075404D"/>
    <w:rsid w:val="00760236"/>
    <w:rsid w:val="0076182A"/>
    <w:rsid w:val="0076191E"/>
    <w:rsid w:val="007677BF"/>
    <w:rsid w:val="00767B7E"/>
    <w:rsid w:val="007770C3"/>
    <w:rsid w:val="00784D24"/>
    <w:rsid w:val="00785FBA"/>
    <w:rsid w:val="00786E4A"/>
    <w:rsid w:val="007875EB"/>
    <w:rsid w:val="0079426B"/>
    <w:rsid w:val="007B3C57"/>
    <w:rsid w:val="007C1CAF"/>
    <w:rsid w:val="007D312A"/>
    <w:rsid w:val="007D3385"/>
    <w:rsid w:val="007D3F19"/>
    <w:rsid w:val="007E23B0"/>
    <w:rsid w:val="007E7583"/>
    <w:rsid w:val="007F1991"/>
    <w:rsid w:val="007F2C2F"/>
    <w:rsid w:val="007F448A"/>
    <w:rsid w:val="007F55FC"/>
    <w:rsid w:val="007F5665"/>
    <w:rsid w:val="00800112"/>
    <w:rsid w:val="008253BB"/>
    <w:rsid w:val="00833C26"/>
    <w:rsid w:val="0083706E"/>
    <w:rsid w:val="008423A5"/>
    <w:rsid w:val="00844DE7"/>
    <w:rsid w:val="00850625"/>
    <w:rsid w:val="00853718"/>
    <w:rsid w:val="00855221"/>
    <w:rsid w:val="00860645"/>
    <w:rsid w:val="00871F71"/>
    <w:rsid w:val="00885AF4"/>
    <w:rsid w:val="00885EB2"/>
    <w:rsid w:val="008939CD"/>
    <w:rsid w:val="008B31D5"/>
    <w:rsid w:val="008B666D"/>
    <w:rsid w:val="008B768C"/>
    <w:rsid w:val="008C4DB1"/>
    <w:rsid w:val="008C4EAF"/>
    <w:rsid w:val="008C5176"/>
    <w:rsid w:val="008C7FD0"/>
    <w:rsid w:val="008D4484"/>
    <w:rsid w:val="008E1DE7"/>
    <w:rsid w:val="008E707C"/>
    <w:rsid w:val="008F2472"/>
    <w:rsid w:val="008F2D37"/>
    <w:rsid w:val="008F4482"/>
    <w:rsid w:val="008F7842"/>
    <w:rsid w:val="00900B08"/>
    <w:rsid w:val="00902155"/>
    <w:rsid w:val="00902FA3"/>
    <w:rsid w:val="0091525E"/>
    <w:rsid w:val="00922F90"/>
    <w:rsid w:val="00923564"/>
    <w:rsid w:val="0092392E"/>
    <w:rsid w:val="00931537"/>
    <w:rsid w:val="009315F9"/>
    <w:rsid w:val="00946945"/>
    <w:rsid w:val="00951248"/>
    <w:rsid w:val="0095152F"/>
    <w:rsid w:val="00954C49"/>
    <w:rsid w:val="00961E76"/>
    <w:rsid w:val="0096407E"/>
    <w:rsid w:val="0097099F"/>
    <w:rsid w:val="00971997"/>
    <w:rsid w:val="00971FFC"/>
    <w:rsid w:val="009811A8"/>
    <w:rsid w:val="00985935"/>
    <w:rsid w:val="0098660A"/>
    <w:rsid w:val="009874B2"/>
    <w:rsid w:val="009931C3"/>
    <w:rsid w:val="009A0751"/>
    <w:rsid w:val="009A3989"/>
    <w:rsid w:val="009B2C43"/>
    <w:rsid w:val="009B4EAE"/>
    <w:rsid w:val="009B7573"/>
    <w:rsid w:val="009C22F4"/>
    <w:rsid w:val="009C2E98"/>
    <w:rsid w:val="009D3447"/>
    <w:rsid w:val="009D4711"/>
    <w:rsid w:val="009E554C"/>
    <w:rsid w:val="009F1185"/>
    <w:rsid w:val="009F18CD"/>
    <w:rsid w:val="009F2A13"/>
    <w:rsid w:val="009F2D2D"/>
    <w:rsid w:val="009F4C53"/>
    <w:rsid w:val="00A04EB0"/>
    <w:rsid w:val="00A13CC1"/>
    <w:rsid w:val="00A16847"/>
    <w:rsid w:val="00A21E26"/>
    <w:rsid w:val="00A237D8"/>
    <w:rsid w:val="00A268C4"/>
    <w:rsid w:val="00A307CD"/>
    <w:rsid w:val="00A40A00"/>
    <w:rsid w:val="00A40D53"/>
    <w:rsid w:val="00A4142F"/>
    <w:rsid w:val="00A5230D"/>
    <w:rsid w:val="00A52F66"/>
    <w:rsid w:val="00A56DF2"/>
    <w:rsid w:val="00A67AB5"/>
    <w:rsid w:val="00A7628F"/>
    <w:rsid w:val="00A77F2F"/>
    <w:rsid w:val="00A91760"/>
    <w:rsid w:val="00A93B00"/>
    <w:rsid w:val="00A93C21"/>
    <w:rsid w:val="00AC3C6A"/>
    <w:rsid w:val="00AD5620"/>
    <w:rsid w:val="00AD7C1B"/>
    <w:rsid w:val="00AE16BA"/>
    <w:rsid w:val="00AE1EBE"/>
    <w:rsid w:val="00AF38AB"/>
    <w:rsid w:val="00AF4F30"/>
    <w:rsid w:val="00AF5C2C"/>
    <w:rsid w:val="00AF7433"/>
    <w:rsid w:val="00B03C9D"/>
    <w:rsid w:val="00B060AE"/>
    <w:rsid w:val="00B10517"/>
    <w:rsid w:val="00B14E76"/>
    <w:rsid w:val="00B161B8"/>
    <w:rsid w:val="00B177F2"/>
    <w:rsid w:val="00B2048C"/>
    <w:rsid w:val="00B2267D"/>
    <w:rsid w:val="00B310B9"/>
    <w:rsid w:val="00B33D33"/>
    <w:rsid w:val="00B35F3F"/>
    <w:rsid w:val="00B36CBB"/>
    <w:rsid w:val="00B425E0"/>
    <w:rsid w:val="00B42FB5"/>
    <w:rsid w:val="00B440AA"/>
    <w:rsid w:val="00B44B70"/>
    <w:rsid w:val="00B47DAA"/>
    <w:rsid w:val="00B53C56"/>
    <w:rsid w:val="00B575DB"/>
    <w:rsid w:val="00B77EA6"/>
    <w:rsid w:val="00B80C8A"/>
    <w:rsid w:val="00B81598"/>
    <w:rsid w:val="00B841F1"/>
    <w:rsid w:val="00B944D6"/>
    <w:rsid w:val="00B975CC"/>
    <w:rsid w:val="00BB4DF0"/>
    <w:rsid w:val="00BC289F"/>
    <w:rsid w:val="00BC5361"/>
    <w:rsid w:val="00BC5460"/>
    <w:rsid w:val="00BC6B50"/>
    <w:rsid w:val="00BD0E25"/>
    <w:rsid w:val="00BD4DA9"/>
    <w:rsid w:val="00BF5BD6"/>
    <w:rsid w:val="00C03E31"/>
    <w:rsid w:val="00C0410F"/>
    <w:rsid w:val="00C107FF"/>
    <w:rsid w:val="00C33E72"/>
    <w:rsid w:val="00C354B2"/>
    <w:rsid w:val="00C35554"/>
    <w:rsid w:val="00C42709"/>
    <w:rsid w:val="00C533CC"/>
    <w:rsid w:val="00C54E85"/>
    <w:rsid w:val="00C559E3"/>
    <w:rsid w:val="00C5751C"/>
    <w:rsid w:val="00C61BFC"/>
    <w:rsid w:val="00C62B85"/>
    <w:rsid w:val="00C65438"/>
    <w:rsid w:val="00C84A36"/>
    <w:rsid w:val="00C91CBB"/>
    <w:rsid w:val="00CC09B6"/>
    <w:rsid w:val="00CC666F"/>
    <w:rsid w:val="00CD1E3F"/>
    <w:rsid w:val="00CE44F6"/>
    <w:rsid w:val="00CE49DA"/>
    <w:rsid w:val="00CE6F6B"/>
    <w:rsid w:val="00CE7B61"/>
    <w:rsid w:val="00D00095"/>
    <w:rsid w:val="00D14591"/>
    <w:rsid w:val="00D20620"/>
    <w:rsid w:val="00D26091"/>
    <w:rsid w:val="00D34E7C"/>
    <w:rsid w:val="00D35489"/>
    <w:rsid w:val="00D4346B"/>
    <w:rsid w:val="00D43811"/>
    <w:rsid w:val="00D51276"/>
    <w:rsid w:val="00D7035F"/>
    <w:rsid w:val="00D71A44"/>
    <w:rsid w:val="00D928F7"/>
    <w:rsid w:val="00DA0754"/>
    <w:rsid w:val="00DA5D4F"/>
    <w:rsid w:val="00DA65AC"/>
    <w:rsid w:val="00DB1913"/>
    <w:rsid w:val="00DC410D"/>
    <w:rsid w:val="00DC68CA"/>
    <w:rsid w:val="00DC6FCA"/>
    <w:rsid w:val="00DC7CBA"/>
    <w:rsid w:val="00DD421E"/>
    <w:rsid w:val="00DD73B7"/>
    <w:rsid w:val="00DF1CDA"/>
    <w:rsid w:val="00DF28BC"/>
    <w:rsid w:val="00DF34B9"/>
    <w:rsid w:val="00E01053"/>
    <w:rsid w:val="00E07ACF"/>
    <w:rsid w:val="00E11FBF"/>
    <w:rsid w:val="00E20A53"/>
    <w:rsid w:val="00E22629"/>
    <w:rsid w:val="00E25B50"/>
    <w:rsid w:val="00E331A1"/>
    <w:rsid w:val="00E33202"/>
    <w:rsid w:val="00E336A9"/>
    <w:rsid w:val="00E50624"/>
    <w:rsid w:val="00E537A8"/>
    <w:rsid w:val="00E568DF"/>
    <w:rsid w:val="00E64269"/>
    <w:rsid w:val="00E64D62"/>
    <w:rsid w:val="00E71D79"/>
    <w:rsid w:val="00E7479E"/>
    <w:rsid w:val="00E82267"/>
    <w:rsid w:val="00E82DA7"/>
    <w:rsid w:val="00EA010F"/>
    <w:rsid w:val="00ED1B63"/>
    <w:rsid w:val="00ED3C1F"/>
    <w:rsid w:val="00ED4085"/>
    <w:rsid w:val="00ED420E"/>
    <w:rsid w:val="00ED6A88"/>
    <w:rsid w:val="00EE01BB"/>
    <w:rsid w:val="00EE02B4"/>
    <w:rsid w:val="00EE2F57"/>
    <w:rsid w:val="00EE7BB1"/>
    <w:rsid w:val="00EF4C34"/>
    <w:rsid w:val="00EF77C6"/>
    <w:rsid w:val="00F05438"/>
    <w:rsid w:val="00F1361C"/>
    <w:rsid w:val="00F141AF"/>
    <w:rsid w:val="00F160C7"/>
    <w:rsid w:val="00F21F82"/>
    <w:rsid w:val="00F246FF"/>
    <w:rsid w:val="00F36D8F"/>
    <w:rsid w:val="00F417B1"/>
    <w:rsid w:val="00F420B8"/>
    <w:rsid w:val="00F602DF"/>
    <w:rsid w:val="00F817FC"/>
    <w:rsid w:val="00F81FD9"/>
    <w:rsid w:val="00F841AA"/>
    <w:rsid w:val="00F9713D"/>
    <w:rsid w:val="00FA23E8"/>
    <w:rsid w:val="00FB05E0"/>
    <w:rsid w:val="00FD3CC1"/>
    <w:rsid w:val="00FE2B82"/>
    <w:rsid w:val="00FF1E02"/>
    <w:rsid w:val="00FF30B4"/>
    <w:rsid w:val="10C055FF"/>
    <w:rsid w:val="16BB723D"/>
    <w:rsid w:val="240371BF"/>
    <w:rsid w:val="29FD04D3"/>
    <w:rsid w:val="319F7F4E"/>
    <w:rsid w:val="3DFDBD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5"/>
    <w:qFormat/>
    <w:locked/>
    <w:uiPriority w:val="99"/>
    <w:rPr>
      <w:rFonts w:ascii="仿宋_GB2312" w:hAnsi="Times New Roman" w:eastAsia="仿宋_GB2312"/>
      <w:sz w:val="24"/>
    </w:rPr>
  </w:style>
  <w:style w:type="paragraph" w:customStyle="1" w:styleId="23">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2"/>
    <w:qFormat/>
    <w:uiPriority w:val="9"/>
    <w:rPr>
      <w:rFonts w:ascii="Times New Roman" w:hAnsi="Times New Roman"/>
      <w:b/>
      <w:bCs/>
      <w:kern w:val="44"/>
      <w:sz w:val="44"/>
      <w:szCs w:val="44"/>
    </w:rPr>
  </w:style>
  <w:style w:type="character" w:customStyle="1" w:styleId="26">
    <w:name w:val="标题 2 字符"/>
    <w:basedOn w:val="14"/>
    <w:link w:val="3"/>
    <w:qFormat/>
    <w:uiPriority w:val="9"/>
    <w:rPr>
      <w:rFonts w:asciiTheme="majorHAnsi" w:hAnsiTheme="majorHAnsi" w:eastAsiaTheme="majorEastAsia" w:cstheme="majorBidi"/>
      <w:b/>
      <w:bCs/>
      <w:kern w:val="2"/>
      <w:sz w:val="32"/>
      <w:szCs w:val="32"/>
    </w:rPr>
  </w:style>
  <w:style w:type="paragraph" w:customStyle="1" w:styleId="27">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37</Pages>
  <Words>2432</Words>
  <Characters>13865</Characters>
  <Lines>115</Lines>
  <Paragraphs>32</Paragraphs>
  <TotalTime>432</TotalTime>
  <ScaleCrop>false</ScaleCrop>
  <LinksUpToDate>false</LinksUpToDate>
  <CharactersWithSpaces>16265</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2019-08-01T09:14:00Z</dcterms:created>
  <dc:creator>张彬茜</dc:creator>
  <cp:lastModifiedBy>user</cp:lastModifiedBy>
  <cp:lastPrinted>2019-08-01T08:48:00Z</cp:lastPrinted>
  <dcterms:modified xsi:type="dcterms:W3CDTF">2023-07-21T10:50:48Z</dcterms:modified>
  <dc:title>四川省***</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BCCA344B82741C2188F2B9645ECD1BEA</vt:lpwstr>
  </property>
</Properties>
</file>